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Arial" w:hAnsi="Arial" w:cs="Arial"/>
          <w:color w:val="000000" w:themeColor="text1"/>
          <w:sz w:val="24"/>
          <w:szCs w:val="24"/>
          <w:lang w:val="pt-BR"/>
        </w:rPr>
      </w:pPr>
      <w:r>
        <w:rPr>
          <w:rFonts w:cs="Arial" w:ascii="Arial" w:hAnsi="Arial"/>
          <w:color w:val="000000" w:themeColor="text1"/>
          <w:sz w:val="24"/>
          <w:szCs w:val="24"/>
          <w:lang w:val="pt-BR"/>
        </w:rPr>
      </w:r>
    </w:p>
    <w:p>
      <w:pPr>
        <w:pStyle w:val="Normal"/>
        <w:rPr/>
      </w:pPr>
      <w:bookmarkStart w:id="0" w:name="_GoBack"/>
      <w:r>
        <w:rPr>
          <w:rFonts w:cs="Arial" w:ascii="Arial" w:hAnsi="Arial"/>
          <w:color w:val="000000" w:themeColor="text1"/>
          <w:sz w:val="24"/>
          <w:szCs w:val="24"/>
          <w:u w:val="single"/>
          <w:lang w:val="pt-BR"/>
        </w:rPr>
        <w:t>Livros apócrifos, pseudoepígrafos. Deuterocanonicos</w:t>
      </w:r>
      <w:bookmarkEnd w:id="0"/>
      <w:r>
        <w:rPr>
          <w:rFonts w:cs="Arial" w:ascii="Arial" w:hAnsi="Arial"/>
          <w:color w:val="000000" w:themeColor="text1"/>
          <w:sz w:val="24"/>
          <w:szCs w:val="24"/>
          <w:u w:val="single"/>
          <w:lang w:val="pt-BR"/>
        </w:rPr>
        <w:t>.</w:t>
      </w:r>
    </w:p>
    <w:p>
      <w:pPr>
        <w:pStyle w:val="Normal"/>
        <w:rPr>
          <w:u w:val="none"/>
        </w:rPr>
      </w:pPr>
      <w:r>
        <w:rPr>
          <w:rFonts w:cs="Arial" w:ascii="Arial" w:hAnsi="Arial"/>
          <w:color w:val="000000" w:themeColor="text1"/>
          <w:sz w:val="24"/>
          <w:szCs w:val="24"/>
          <w:u w:val="none"/>
          <w:lang w:val="pt-BR"/>
        </w:rPr>
        <w:t>Pt Jean Luc Fobe</w:t>
      </w:r>
    </w:p>
    <w:p>
      <w:pPr>
        <w:pStyle w:val="Normal"/>
        <w:rPr>
          <w:rFonts w:ascii="Arial" w:hAnsi="Arial" w:cs="Arial"/>
          <w:color w:val="000000" w:themeColor="text1"/>
          <w:sz w:val="24"/>
          <w:szCs w:val="24"/>
          <w:lang w:val="pt-BR"/>
        </w:rPr>
      </w:pPr>
      <w:r>
        <w:rPr>
          <w:rFonts w:cs="Arial" w:ascii="Arial" w:hAnsi="Arial"/>
          <w:color w:val="000000" w:themeColor="text1"/>
          <w:sz w:val="24"/>
          <w:szCs w:val="24"/>
          <w:lang w:val="pt-BR"/>
        </w:rPr>
        <w:t xml:space="preserve">Existem diversos livros que foram escritos na mesma época do AT e NT e não foram incluídos na bíblia protestante, no Tanach e mesmo na bíblia católica. Alguns poucos foram incluídos na bíblia católica e recebem o termo técnico de apócrifo, pseudoepígrafo e deuterocanonicos. Alguns deles tem relevância histórica significativa, enquanto que outros tem pontos doutrinários fortemente conflitante e outros  até são divertidos. </w:t>
      </w:r>
    </w:p>
    <w:p>
      <w:pPr>
        <w:pStyle w:val="Normal"/>
        <w:rPr>
          <w:rFonts w:ascii="Arial" w:hAnsi="Arial" w:cs="Arial"/>
          <w:color w:val="000000" w:themeColor="text1"/>
          <w:sz w:val="24"/>
          <w:szCs w:val="24"/>
          <w:u w:val="single"/>
          <w:lang w:val="pt-BR"/>
        </w:rPr>
      </w:pPr>
      <w:r>
        <w:rPr>
          <w:rFonts w:cs="Arial" w:ascii="Arial" w:hAnsi="Arial"/>
          <w:color w:val="000000" w:themeColor="text1"/>
          <w:sz w:val="24"/>
          <w:szCs w:val="24"/>
          <w:u w:val="single"/>
          <w:lang w:val="pt-BR"/>
        </w:rPr>
      </w:r>
    </w:p>
    <w:p>
      <w:pPr>
        <w:pStyle w:val="Normal"/>
        <w:rPr>
          <w:rFonts w:ascii="Arial" w:hAnsi="Arial" w:cs="Arial"/>
          <w:color w:val="000000" w:themeColor="text1"/>
          <w:sz w:val="24"/>
          <w:szCs w:val="24"/>
          <w:lang w:val="pt-BR"/>
        </w:rPr>
      </w:pPr>
      <w:r>
        <w:rPr>
          <w:rFonts w:cs="Arial" w:ascii="Arial" w:hAnsi="Arial"/>
          <w:color w:val="000000" w:themeColor="text1"/>
          <w:sz w:val="24"/>
          <w:szCs w:val="24"/>
          <w:u w:val="single"/>
          <w:lang w:val="pt-BR"/>
        </w:rPr>
        <w:t>Os livros apócrifos</w:t>
      </w:r>
      <w:r>
        <w:rPr>
          <w:rFonts w:cs="Arial" w:ascii="Arial" w:hAnsi="Arial"/>
          <w:color w:val="000000" w:themeColor="text1"/>
          <w:sz w:val="24"/>
          <w:szCs w:val="24"/>
          <w:lang w:val="pt-BR"/>
        </w:rPr>
        <w:t xml:space="preserve"> correspondem a textos religiosos correntes na época do AT e NT em que se questiona a autoria e a inspiração divina do texto, basicamente são textos encontrados na septuaginta e excluídos do Canon judaicos e protestantes. O Canon católico romano e ortodoxo reconhecem estes livros.</w:t>
      </w:r>
    </w:p>
    <w:p>
      <w:pPr>
        <w:pStyle w:val="Normal"/>
        <w:rPr>
          <w:rFonts w:ascii="Arial" w:hAnsi="Arial" w:cs="Arial"/>
          <w:color w:val="000000" w:themeColor="text1"/>
          <w:sz w:val="24"/>
          <w:szCs w:val="24"/>
          <w:lang w:val="pt-BR"/>
        </w:rPr>
      </w:pPr>
      <w:r>
        <w:rPr>
          <w:rFonts w:cs="Arial" w:ascii="Arial" w:hAnsi="Arial"/>
          <w:color w:val="000000" w:themeColor="text1"/>
          <w:sz w:val="24"/>
          <w:szCs w:val="24"/>
          <w:lang w:val="pt-BR"/>
        </w:rPr>
      </w:r>
    </w:p>
    <w:p>
      <w:pPr>
        <w:pStyle w:val="Normal"/>
        <w:rPr>
          <w:rFonts w:ascii="Arial" w:hAnsi="Arial" w:cs="Arial"/>
          <w:color w:val="000000" w:themeColor="text1"/>
          <w:sz w:val="24"/>
          <w:szCs w:val="24"/>
          <w:lang w:val="pt-BR"/>
        </w:rPr>
      </w:pPr>
      <w:r>
        <w:rPr>
          <w:rFonts w:cs="Arial" w:ascii="Arial" w:hAnsi="Arial"/>
          <w:color w:val="000000" w:themeColor="text1"/>
          <w:sz w:val="24"/>
          <w:szCs w:val="24"/>
          <w:lang w:val="pt-BR"/>
        </w:rPr>
      </w:r>
    </w:p>
    <w:p>
      <w:pPr>
        <w:pStyle w:val="Normal"/>
        <w:rPr>
          <w:rFonts w:ascii="Arial" w:hAnsi="Arial" w:cs="Arial"/>
          <w:color w:val="000000" w:themeColor="text1"/>
          <w:sz w:val="24"/>
          <w:szCs w:val="24"/>
          <w:lang w:val="pt-BR"/>
        </w:rPr>
      </w:pPr>
      <w:r>
        <w:rPr>
          <w:rFonts w:cs="Arial" w:ascii="Arial" w:hAnsi="Arial"/>
          <w:color w:val="000000" w:themeColor="text1"/>
          <w:sz w:val="24"/>
          <w:szCs w:val="24"/>
          <w:lang w:val="pt-BR"/>
        </w:rPr>
      </w:r>
    </w:p>
    <w:p>
      <w:pPr>
        <w:pStyle w:val="Normal"/>
        <w:rPr>
          <w:rFonts w:ascii="Arial" w:hAnsi="Arial" w:cs="Arial"/>
          <w:color w:val="000000" w:themeColor="text1"/>
          <w:sz w:val="24"/>
          <w:szCs w:val="24"/>
          <w:lang w:val="pt-BR"/>
        </w:rPr>
      </w:pPr>
      <w:r>
        <w:rPr>
          <w:rFonts w:cs="Arial" w:ascii="Arial" w:hAnsi="Arial"/>
          <w:color w:val="000000" w:themeColor="text1"/>
          <w:sz w:val="24"/>
          <w:szCs w:val="24"/>
          <w:lang w:val="pt-BR"/>
        </w:rPr>
      </w:r>
    </w:p>
    <w:p>
      <w:pPr>
        <w:pStyle w:val="Normal"/>
        <w:rPr>
          <w:rFonts w:ascii="Arial" w:hAnsi="Arial" w:cs="Arial"/>
          <w:color w:val="000000" w:themeColor="text1"/>
          <w:sz w:val="24"/>
          <w:szCs w:val="24"/>
          <w:lang w:val="pt-BR"/>
        </w:rPr>
      </w:pPr>
      <w:r>
        <w:rPr>
          <w:rFonts w:cs="Arial" w:ascii="Arial" w:hAnsi="Arial"/>
          <w:color w:val="000000" w:themeColor="text1"/>
          <w:sz w:val="24"/>
          <w:szCs w:val="24"/>
          <w:lang w:val="pt-BR"/>
        </w:rPr>
      </w:r>
    </w:p>
    <w:p>
      <w:pPr>
        <w:pStyle w:val="Normal"/>
        <w:rPr>
          <w:rFonts w:ascii="Arial" w:hAnsi="Arial" w:cs="Arial"/>
          <w:color w:val="000000" w:themeColor="text1"/>
          <w:sz w:val="24"/>
          <w:szCs w:val="24"/>
          <w:lang w:val="pt-BR"/>
        </w:rPr>
      </w:pPr>
      <w:r>
        <w:rPr>
          <w:rFonts w:cs="Arial" w:ascii="Arial" w:hAnsi="Arial"/>
          <w:color w:val="000000" w:themeColor="text1"/>
          <w:sz w:val="24"/>
          <w:szCs w:val="24"/>
          <w:lang w:val="pt-BR"/>
        </w:rPr>
      </w:r>
    </w:p>
    <w:p>
      <w:pPr>
        <w:pStyle w:val="Normal"/>
        <w:rPr>
          <w:rFonts w:ascii="Arial" w:hAnsi="Arial" w:cs="Arial"/>
          <w:color w:val="000000" w:themeColor="text1"/>
          <w:sz w:val="24"/>
          <w:szCs w:val="24"/>
          <w:lang w:val="pt-BR"/>
        </w:rPr>
      </w:pPr>
      <w:r>
        <w:rPr>
          <w:rFonts w:cs="Arial" w:ascii="Arial" w:hAnsi="Arial"/>
          <w:color w:val="000000" w:themeColor="text1"/>
          <w:sz w:val="24"/>
          <w:szCs w:val="24"/>
          <w:lang w:val="pt-BR"/>
        </w:rPr>
      </w:r>
    </w:p>
    <w:p>
      <w:pPr>
        <w:pStyle w:val="Normal"/>
        <w:rPr>
          <w:rFonts w:ascii="Arial" w:hAnsi="Arial" w:cs="Arial"/>
          <w:color w:val="000000" w:themeColor="text1"/>
          <w:sz w:val="24"/>
          <w:szCs w:val="24"/>
          <w:lang w:val="pt-BR"/>
        </w:rPr>
      </w:pPr>
      <w:r>
        <w:rPr>
          <w:rFonts w:cs="Arial" w:ascii="Arial" w:hAnsi="Arial"/>
          <w:color w:val="000000" w:themeColor="text1"/>
          <w:sz w:val="24"/>
          <w:szCs w:val="24"/>
          <w:lang w:val="pt-BR"/>
        </w:rPr>
        <w:t xml:space="preserve">Tabela com os livros segundo os diferentes cânones. O Canon protestante do AT e o Canon judaico são iguais. </w:t>
      </w:r>
    </w:p>
    <w:p>
      <w:pPr>
        <w:pStyle w:val="Normal"/>
        <w:rPr>
          <w:rFonts w:ascii="Arial" w:hAnsi="Arial" w:cs="Arial"/>
          <w:color w:val="000000" w:themeColor="text1"/>
          <w:sz w:val="24"/>
          <w:szCs w:val="24"/>
          <w:lang w:val="pt-BR"/>
        </w:rPr>
      </w:pPr>
      <w:r>
        <w:rPr>
          <w:rFonts w:cs="Arial" w:ascii="Arial" w:hAnsi="Arial"/>
          <w:color w:val="000000" w:themeColor="text1"/>
          <w:sz w:val="24"/>
          <w:szCs w:val="24"/>
          <w:lang w:val="pt-BR"/>
        </w:rPr>
        <w:t xml:space="preserve"> </w:t>
      </w:r>
    </w:p>
    <w:tbl>
      <w:tblPr>
        <w:tblW w:w="9810" w:type="dxa"/>
        <w:jc w:val="center"/>
        <w:tblInd w:w="0"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top w:w="200" w:type="dxa"/>
          <w:left w:w="192" w:type="dxa"/>
          <w:bottom w:w="200" w:type="dxa"/>
          <w:right w:w="200" w:type="dxa"/>
        </w:tblCellMar>
        <w:tblLook w:firstRow="1" w:noVBand="1" w:lastRow="0" w:firstColumn="1" w:lastColumn="0" w:noHBand="0" w:val="04a0"/>
      </w:tblPr>
      <w:tblGrid>
        <w:gridCol w:w="3515"/>
        <w:gridCol w:w="3157"/>
        <w:gridCol w:w="3138"/>
      </w:tblGrid>
      <w:tr>
        <w:trPr/>
        <w:tc>
          <w:tcPr>
            <w:tcW w:w="3515" w:type="dxa"/>
            <w:tcBorders>
              <w:top w:val="single" w:sz="6" w:space="0" w:color="C0C0C0"/>
              <w:left w:val="single" w:sz="6" w:space="0" w:color="C0C0C0"/>
              <w:bottom w:val="single" w:sz="6" w:space="0" w:color="C0C0C0"/>
              <w:right w:val="single" w:sz="6" w:space="0" w:color="C0C0C0"/>
              <w:insideH w:val="single" w:sz="6" w:space="0" w:color="C0C0C0"/>
              <w:insideV w:val="single" w:sz="6" w:space="0" w:color="C0C0C0"/>
            </w:tcBorders>
            <w:shd w:fill="auto" w:val="clear"/>
            <w:tcMar>
              <w:left w:w="192" w:type="dxa"/>
            </w:tcMar>
            <w:vAlign w:val="center"/>
          </w:tcPr>
          <w:p>
            <w:pPr>
              <w:pStyle w:val="Normal"/>
              <w:spacing w:lineRule="auto" w:line="240" w:before="400" w:after="400"/>
              <w:rPr>
                <w:rFonts w:ascii="Trebuchet MS" w:hAnsi="Trebuchet MS" w:eastAsia="Times New Roman" w:cs="Times New Roman"/>
                <w:b/>
                <w:b/>
                <w:bCs/>
                <w:lang w:bidi="he-IL"/>
              </w:rPr>
            </w:pPr>
            <w:r>
              <w:rPr>
                <w:rFonts w:eastAsia="Times New Roman" w:cs="Times New Roman" w:ascii="Trebuchet MS" w:hAnsi="Trebuchet MS"/>
                <w:b/>
                <w:bCs/>
                <w:lang w:bidi="he-IL"/>
              </w:rPr>
              <w:t>Canon Apostólico Ortodoxo Grego</w:t>
            </w:r>
          </w:p>
        </w:tc>
        <w:tc>
          <w:tcPr>
            <w:tcW w:w="3157" w:type="dxa"/>
            <w:tcBorders>
              <w:top w:val="single" w:sz="6" w:space="0" w:color="C0C0C0"/>
              <w:left w:val="single" w:sz="6" w:space="0" w:color="C0C0C0"/>
              <w:bottom w:val="single" w:sz="6" w:space="0" w:color="C0C0C0"/>
              <w:right w:val="single" w:sz="6" w:space="0" w:color="C0C0C0"/>
              <w:insideH w:val="single" w:sz="6" w:space="0" w:color="C0C0C0"/>
              <w:insideV w:val="single" w:sz="6" w:space="0" w:color="C0C0C0"/>
            </w:tcBorders>
            <w:shd w:fill="auto" w:val="clear"/>
            <w:tcMar>
              <w:left w:w="192" w:type="dxa"/>
            </w:tcMar>
            <w:vAlign w:val="center"/>
          </w:tcPr>
          <w:p>
            <w:pPr>
              <w:pStyle w:val="Normal"/>
              <w:spacing w:lineRule="auto" w:line="240" w:before="400" w:after="400"/>
              <w:rPr>
                <w:rFonts w:ascii="Trebuchet MS" w:hAnsi="Trebuchet MS" w:eastAsia="Times New Roman" w:cs="Times New Roman"/>
                <w:b/>
                <w:b/>
                <w:bCs/>
                <w:lang w:bidi="he-IL"/>
              </w:rPr>
            </w:pPr>
            <w:r>
              <w:rPr>
                <w:rFonts w:eastAsia="Times New Roman" w:cs="Times New Roman" w:ascii="Trebuchet MS" w:hAnsi="Trebuchet MS"/>
                <w:b/>
                <w:bCs/>
                <w:lang w:bidi="he-IL"/>
              </w:rPr>
              <w:t xml:space="preserve">Livros Apócrifos Protestantes  </w:t>
            </w:r>
          </w:p>
        </w:tc>
        <w:tc>
          <w:tcPr>
            <w:tcW w:w="3138" w:type="dxa"/>
            <w:tcBorders>
              <w:top w:val="single" w:sz="6" w:space="0" w:color="C0C0C0"/>
              <w:left w:val="single" w:sz="6" w:space="0" w:color="C0C0C0"/>
              <w:bottom w:val="single" w:sz="6" w:space="0" w:color="C0C0C0"/>
              <w:right w:val="single" w:sz="6" w:space="0" w:color="C0C0C0"/>
              <w:insideH w:val="single" w:sz="6" w:space="0" w:color="C0C0C0"/>
              <w:insideV w:val="single" w:sz="6" w:space="0" w:color="C0C0C0"/>
            </w:tcBorders>
            <w:shd w:fill="auto" w:val="clear"/>
            <w:tcMar>
              <w:left w:w="192" w:type="dxa"/>
            </w:tcMar>
            <w:vAlign w:val="center"/>
          </w:tcPr>
          <w:p>
            <w:pPr>
              <w:pStyle w:val="Normal"/>
              <w:spacing w:lineRule="auto" w:line="240" w:before="400" w:after="400"/>
              <w:rPr>
                <w:rFonts w:ascii="Trebuchet MS" w:hAnsi="Trebuchet MS" w:eastAsia="Times New Roman" w:cs="Times New Roman"/>
                <w:b/>
                <w:b/>
                <w:bCs/>
                <w:lang w:bidi="he-IL"/>
              </w:rPr>
            </w:pPr>
            <w:r>
              <w:rPr>
                <w:rFonts w:eastAsia="Times New Roman" w:cs="Times New Roman" w:ascii="Trebuchet MS" w:hAnsi="Trebuchet MS"/>
                <w:b/>
                <w:bCs/>
                <w:lang w:bidi="he-IL"/>
              </w:rPr>
              <w:t xml:space="preserve">Canon Católico Romano   </w:t>
            </w:r>
          </w:p>
        </w:tc>
      </w:tr>
      <w:tr>
        <w:trPr/>
        <w:tc>
          <w:tcPr>
            <w:tcW w:w="3515" w:type="dxa"/>
            <w:tcBorders>
              <w:top w:val="single" w:sz="6" w:space="0" w:color="C0C0C0"/>
              <w:left w:val="single" w:sz="6" w:space="0" w:color="C0C0C0"/>
              <w:bottom w:val="single" w:sz="6" w:space="0" w:color="C0C0C0"/>
              <w:right w:val="single" w:sz="6" w:space="0" w:color="C0C0C0"/>
              <w:insideH w:val="single" w:sz="6" w:space="0" w:color="C0C0C0"/>
              <w:insideV w:val="single" w:sz="6" w:space="0" w:color="C0C0C0"/>
            </w:tcBorders>
            <w:shd w:fill="auto" w:val="clear"/>
            <w:tcMar>
              <w:left w:w="192" w:type="dxa"/>
            </w:tcMar>
          </w:tcPr>
          <w:p>
            <w:pPr>
              <w:pStyle w:val="Normal"/>
              <w:spacing w:lineRule="auto" w:line="240" w:before="400" w:after="400"/>
              <w:rPr>
                <w:rFonts w:ascii="Trebuchet MS" w:hAnsi="Trebuchet MS" w:eastAsia="Times New Roman" w:cs="Times New Roman"/>
                <w:lang w:val="pt-BR" w:bidi="he-IL"/>
              </w:rPr>
            </w:pPr>
            <w:r>
              <w:rPr>
                <w:rFonts w:eastAsia="Times New Roman" w:cs="Times New Roman" w:ascii="Trebuchet MS" w:hAnsi="Trebuchet MS"/>
                <w:lang w:val="pt-BR" w:bidi="he-IL"/>
              </w:rPr>
              <w:t>1 Esdras</w:t>
              <w:br/>
              <w:br/>
              <w:t>Tobias</w:t>
              <w:br/>
              <w:t>Judite</w:t>
              <w:br/>
              <w:t>Acréscimos de  Ester</w:t>
              <w:br/>
              <w:t>Sabedorias de  Solomão</w:t>
              <w:br/>
              <w:t>Eclesiástico</w:t>
              <w:br/>
              <w:t>Baruque</w:t>
              <w:br/>
              <w:t>Epistola de Jeremias</w:t>
              <w:br/>
              <w:t>Canção das Três Crianças</w:t>
              <w:br/>
              <w:t>História de  Susana</w:t>
              <w:br/>
              <w:t>Bel e o  Dragão</w:t>
              <w:br/>
              <w:t>Oração de Manasses</w:t>
              <w:br/>
              <w:t>1 Macabeus</w:t>
              <w:br/>
              <w:t>2 Macabeus</w:t>
              <w:br/>
              <w:t xml:space="preserve">3 Macabeus </w:t>
              <w:br/>
              <w:t>4 Macabeus</w:t>
              <w:br/>
              <w:t>Salmo 151</w:t>
            </w:r>
          </w:p>
        </w:tc>
        <w:tc>
          <w:tcPr>
            <w:tcW w:w="3157" w:type="dxa"/>
            <w:tcBorders>
              <w:top w:val="single" w:sz="6" w:space="0" w:color="C0C0C0"/>
              <w:left w:val="single" w:sz="6" w:space="0" w:color="C0C0C0"/>
              <w:bottom w:val="single" w:sz="6" w:space="0" w:color="C0C0C0"/>
              <w:right w:val="single" w:sz="6" w:space="0" w:color="C0C0C0"/>
              <w:insideH w:val="single" w:sz="6" w:space="0" w:color="C0C0C0"/>
              <w:insideV w:val="single" w:sz="6" w:space="0" w:color="C0C0C0"/>
            </w:tcBorders>
            <w:shd w:fill="auto" w:val="clear"/>
            <w:tcMar>
              <w:left w:w="192" w:type="dxa"/>
            </w:tcMar>
          </w:tcPr>
          <w:p>
            <w:pPr>
              <w:pStyle w:val="Normal"/>
              <w:spacing w:lineRule="auto" w:line="240" w:before="400" w:after="400"/>
              <w:rPr>
                <w:rFonts w:ascii="Trebuchet MS" w:hAnsi="Trebuchet MS" w:eastAsia="Times New Roman" w:cs="Times New Roman"/>
                <w:lang w:val="pt-BR" w:bidi="he-IL"/>
              </w:rPr>
            </w:pPr>
            <w:r>
              <w:rPr>
                <w:rFonts w:eastAsia="Times New Roman" w:cs="Times New Roman" w:ascii="Trebuchet MS" w:hAnsi="Trebuchet MS"/>
                <w:lang w:val="pt-BR" w:bidi="he-IL"/>
              </w:rPr>
              <w:t>1 Esdras</w:t>
              <w:br/>
              <w:t>2 Esdras</w:t>
              <w:br/>
              <w:t>Tobias</w:t>
              <w:br/>
              <w:t>Judite</w:t>
              <w:br/>
              <w:t>Acréscimos de  Ester</w:t>
              <w:br/>
              <w:t>Sabedorias de  Solomão</w:t>
              <w:br/>
              <w:t>Eclesiástico</w:t>
              <w:br/>
              <w:t>Baruque</w:t>
              <w:br/>
              <w:t>Epistola de Jeremias</w:t>
              <w:br/>
              <w:t>Canção das Três Crianças</w:t>
              <w:br/>
              <w:t>História de  Susana</w:t>
              <w:br/>
              <w:t>Bel e o  Dragão</w:t>
              <w:br/>
              <w:t>Oração de Manasses</w:t>
              <w:br/>
              <w:t>1 Macabeus</w:t>
              <w:br/>
              <w:t>2 Macabeus</w:t>
            </w:r>
          </w:p>
        </w:tc>
        <w:tc>
          <w:tcPr>
            <w:tcW w:w="3138" w:type="dxa"/>
            <w:tcBorders>
              <w:top w:val="single" w:sz="6" w:space="0" w:color="C0C0C0"/>
              <w:left w:val="single" w:sz="6" w:space="0" w:color="C0C0C0"/>
              <w:bottom w:val="single" w:sz="6" w:space="0" w:color="C0C0C0"/>
              <w:right w:val="single" w:sz="6" w:space="0" w:color="C0C0C0"/>
              <w:insideH w:val="single" w:sz="6" w:space="0" w:color="C0C0C0"/>
              <w:insideV w:val="single" w:sz="6" w:space="0" w:color="C0C0C0"/>
            </w:tcBorders>
            <w:shd w:fill="auto" w:val="clear"/>
            <w:tcMar>
              <w:left w:w="192" w:type="dxa"/>
            </w:tcMar>
          </w:tcPr>
          <w:p>
            <w:pPr>
              <w:pStyle w:val="Normal"/>
              <w:spacing w:lineRule="auto" w:line="240" w:before="400" w:after="400"/>
              <w:rPr>
                <w:rFonts w:ascii="Trebuchet MS" w:hAnsi="Trebuchet MS" w:eastAsia="Times New Roman" w:cs="Times New Roman"/>
                <w:lang w:val="pt-BR" w:bidi="he-IL"/>
              </w:rPr>
            </w:pPr>
            <w:r>
              <w:rPr>
                <w:rFonts w:eastAsia="Times New Roman" w:cs="Times New Roman" w:ascii="Trebuchet MS" w:hAnsi="Trebuchet MS"/>
                <w:lang w:val="pt-BR" w:bidi="he-IL"/>
              </w:rPr>
              <w:br/>
              <w:br/>
              <w:t>Tobias</w:t>
              <w:br/>
              <w:t>Judite</w:t>
              <w:br/>
              <w:t>Acréscimos de  Ester</w:t>
              <w:br/>
              <w:t>Sabedorias de  Solomão</w:t>
              <w:br/>
              <w:t>Eclesiástico</w:t>
              <w:br/>
              <w:t>Baruque</w:t>
              <w:br/>
              <w:t>Epistola de Jeremias</w:t>
              <w:br/>
              <w:t>Canção das Três Crianças</w:t>
              <w:br/>
              <w:t>História de  Susana</w:t>
              <w:br/>
              <w:t>Bel e o  Dragão</w:t>
              <w:br/>
              <w:br/>
              <w:t>1 Macabeus</w:t>
              <w:br/>
              <w:t>2 Macabeus</w:t>
            </w:r>
          </w:p>
        </w:tc>
      </w:tr>
    </w:tbl>
    <w:p>
      <w:pPr>
        <w:pStyle w:val="Normal"/>
        <w:rPr>
          <w:rFonts w:ascii="Arial" w:hAnsi="Arial" w:cs="Arial"/>
          <w:color w:val="000000" w:themeColor="text1"/>
          <w:sz w:val="24"/>
          <w:szCs w:val="24"/>
          <w:lang w:val="pt-BR"/>
        </w:rPr>
      </w:pPr>
      <w:r>
        <w:rPr>
          <w:rFonts w:cs="Arial" w:ascii="Arial" w:hAnsi="Arial"/>
          <w:color w:val="000000" w:themeColor="text1"/>
          <w:sz w:val="24"/>
          <w:szCs w:val="24"/>
          <w:lang w:val="pt-BR"/>
        </w:rPr>
      </w:r>
    </w:p>
    <w:p>
      <w:pPr>
        <w:pStyle w:val="Normal"/>
        <w:spacing w:lineRule="auto" w:line="240" w:before="0" w:after="0"/>
        <w:jc w:val="both"/>
        <w:rPr>
          <w:rFonts w:ascii="Arial" w:hAnsi="Arial" w:cs="Arial"/>
          <w:b/>
          <w:b/>
          <w:bCs/>
          <w:sz w:val="24"/>
          <w:szCs w:val="24"/>
          <w:lang w:val="pt-BR"/>
        </w:rPr>
      </w:pPr>
      <w:r>
        <w:rPr>
          <w:rFonts w:cs="Arial" w:ascii="Arial" w:hAnsi="Arial"/>
          <w:b/>
          <w:bCs/>
          <w:sz w:val="24"/>
          <w:szCs w:val="24"/>
          <w:lang w:val="pt-BR"/>
        </w:rPr>
      </w:r>
    </w:p>
    <w:p>
      <w:pPr>
        <w:pStyle w:val="Normal"/>
        <w:spacing w:lineRule="auto" w:line="240" w:beforeAutospacing="1" w:afterAutospacing="1"/>
        <w:ind w:left="90" w:hanging="0"/>
        <w:rPr>
          <w:rFonts w:ascii="Arial" w:hAnsi="Arial" w:cs="Arial"/>
          <w:sz w:val="24"/>
          <w:szCs w:val="24"/>
          <w:lang w:val="pt-BR"/>
        </w:rPr>
      </w:pPr>
      <w:r>
        <w:rPr>
          <w:rFonts w:cs="Arial" w:ascii="Arial" w:hAnsi="Arial"/>
          <w:sz w:val="24"/>
          <w:szCs w:val="24"/>
          <w:lang w:val="pt-BR"/>
        </w:rPr>
        <w:t>Diversos livros apócrifos no período neo testamentário são encontrados fazendo uma releitura de livros do AT, são desconsiderados do ponto de vista histórico e teológico, na sua grande maioria de má qualidade, mas para fazermos menção devemos citar: Apocalipse de Elias, Sofonias de Sofonias, Parafilemon de Baruque. Algumas destas composições ou criações cristãs teriam como base material judaico similar como apocalipse de Moises, testamento de Abraão, testamento dos Três Patriarcas, a pregação de José, a pregação de Asene, o casamento de Asene (mulher de José).</w:t>
      </w:r>
    </w:p>
    <w:p>
      <w:pPr>
        <w:pStyle w:val="Normal"/>
        <w:spacing w:lineRule="auto" w:line="240" w:before="0" w:after="0"/>
        <w:jc w:val="both"/>
        <w:rPr>
          <w:rFonts w:ascii="Arial" w:hAnsi="Arial" w:cs="Arial"/>
          <w:b/>
          <w:b/>
          <w:bCs/>
          <w:sz w:val="24"/>
          <w:szCs w:val="24"/>
          <w:lang w:val="pt-BR"/>
        </w:rPr>
      </w:pPr>
      <w:r>
        <w:rPr>
          <w:rFonts w:eastAsia="Times New Roman" w:cs="Times New Roman" w:ascii="Times New Roman" w:hAnsi="Times New Roman"/>
          <w:color w:val="000000"/>
          <w:sz w:val="24"/>
          <w:szCs w:val="24"/>
          <w:lang w:val="pt-BR" w:bidi="he-IL"/>
        </w:rPr>
        <w:t xml:space="preserve"> </w:t>
      </w:r>
    </w:p>
    <w:p>
      <w:pPr>
        <w:pStyle w:val="Normal"/>
        <w:spacing w:lineRule="auto" w:line="240" w:before="0" w:after="0"/>
        <w:jc w:val="both"/>
        <w:rPr>
          <w:rFonts w:ascii="Arial" w:hAnsi="Arial" w:cs="Arial"/>
          <w:b/>
          <w:b/>
          <w:bCs/>
          <w:sz w:val="24"/>
          <w:szCs w:val="24"/>
          <w:lang w:val="pt-BR"/>
        </w:rPr>
      </w:pPr>
      <w:r>
        <w:rPr>
          <w:rFonts w:cs="Arial" w:ascii="Arial" w:hAnsi="Arial"/>
          <w:b/>
          <w:bCs/>
          <w:sz w:val="24"/>
          <w:szCs w:val="24"/>
          <w:lang w:val="pt-BR"/>
        </w:rPr>
      </w:r>
    </w:p>
    <w:p>
      <w:pPr>
        <w:pStyle w:val="Normal"/>
        <w:spacing w:lineRule="auto" w:line="240" w:before="0" w:after="0"/>
        <w:jc w:val="both"/>
        <w:rPr>
          <w:rFonts w:ascii="Arial" w:hAnsi="Arial" w:cs="Arial"/>
          <w:b/>
          <w:b/>
          <w:bCs/>
          <w:sz w:val="24"/>
          <w:szCs w:val="24"/>
          <w:lang w:val="pt-BR"/>
        </w:rPr>
      </w:pPr>
      <w:r>
        <w:rPr>
          <w:rFonts w:cs="Arial" w:ascii="Arial" w:hAnsi="Arial"/>
          <w:b/>
          <w:bCs/>
          <w:sz w:val="24"/>
          <w:szCs w:val="24"/>
          <w:lang w:val="pt-BR"/>
        </w:rPr>
      </w:r>
    </w:p>
    <w:p>
      <w:pPr>
        <w:pStyle w:val="Normal"/>
        <w:spacing w:lineRule="auto" w:line="240" w:before="0" w:after="0"/>
        <w:jc w:val="both"/>
        <w:rPr>
          <w:rFonts w:ascii="Arial" w:hAnsi="Arial" w:cs="Arial"/>
          <w:b/>
          <w:b/>
          <w:bCs/>
          <w:sz w:val="24"/>
          <w:szCs w:val="24"/>
          <w:lang w:val="pt-BR"/>
        </w:rPr>
      </w:pPr>
      <w:r>
        <w:rPr>
          <w:rFonts w:cs="Arial" w:ascii="Arial" w:hAnsi="Arial"/>
          <w:b/>
          <w:bCs/>
          <w:sz w:val="24"/>
          <w:szCs w:val="24"/>
          <w:lang w:val="pt-BR"/>
        </w:rPr>
      </w:r>
    </w:p>
    <w:p>
      <w:pPr>
        <w:pStyle w:val="Normal"/>
        <w:spacing w:lineRule="auto" w:line="240" w:before="0" w:after="0"/>
        <w:jc w:val="both"/>
        <w:rPr>
          <w:rFonts w:ascii="Arial" w:hAnsi="Arial" w:cs="Arial"/>
          <w:b/>
          <w:b/>
          <w:bCs/>
          <w:sz w:val="24"/>
          <w:szCs w:val="24"/>
          <w:lang w:val="pt-BR"/>
        </w:rPr>
      </w:pPr>
      <w:r>
        <w:rPr>
          <w:rFonts w:cs="Arial" w:ascii="Arial" w:hAnsi="Arial"/>
          <w:b/>
          <w:bCs/>
          <w:sz w:val="24"/>
          <w:szCs w:val="24"/>
          <w:lang w:val="pt-BR"/>
        </w:rPr>
      </w:r>
    </w:p>
    <w:p>
      <w:pPr>
        <w:pStyle w:val="Ttulo3"/>
        <w:rPr>
          <w:rFonts w:ascii="Arial" w:hAnsi="Arial" w:cs="Arial"/>
          <w:b w:val="false"/>
          <w:b w:val="false"/>
          <w:bCs w:val="false"/>
          <w:sz w:val="24"/>
          <w:szCs w:val="24"/>
          <w:lang w:val="pt-BR"/>
        </w:rPr>
      </w:pPr>
      <w:r>
        <w:rPr>
          <w:rFonts w:cs="Arial" w:ascii="Arial" w:hAnsi="Arial"/>
          <w:b w:val="false"/>
          <w:bCs w:val="false"/>
          <w:sz w:val="24"/>
          <w:szCs w:val="24"/>
          <w:lang w:val="pt-BR"/>
        </w:rPr>
        <w:t xml:space="preserve">Exemplos de conteúdo dos livros apócrifos no AT: </w:t>
      </w:r>
    </w:p>
    <w:p>
      <w:pPr>
        <w:pStyle w:val="NormalWeb"/>
        <w:rPr>
          <w:rFonts w:ascii="Arial" w:hAnsi="Arial" w:cs="Arial"/>
          <w:lang w:val="pt-BR"/>
        </w:rPr>
      </w:pPr>
      <w:bookmarkStart w:id="1" w:name="esdras1"/>
      <w:r>
        <w:rPr>
          <w:rFonts w:cs="Arial" w:ascii="Arial" w:hAnsi="Arial"/>
          <w:b/>
          <w:bCs/>
          <w:lang w:val="pt-BR"/>
        </w:rPr>
        <w:t>1 Esdras.</w:t>
      </w:r>
      <w:bookmarkEnd w:id="1"/>
      <w:r>
        <w:rPr>
          <w:rFonts w:cs="Arial" w:ascii="Arial" w:hAnsi="Arial"/>
          <w:b/>
          <w:bCs/>
          <w:lang w:val="pt-BR"/>
        </w:rPr>
        <w:t xml:space="preserve"> </w:t>
      </w:r>
      <w:r>
        <w:rPr>
          <w:rFonts w:cs="Arial" w:ascii="Arial" w:hAnsi="Arial"/>
          <w:lang w:val="pt-BR"/>
        </w:rPr>
        <w:t xml:space="preserve">Este livro narra três jovens revisando o livro de Esdras e acrescentando material suplementar dos dois primeiras capítulos de 2 Crônicas e os dois últimos do livro de Neemias.  </w:t>
      </w:r>
    </w:p>
    <w:p>
      <w:pPr>
        <w:pStyle w:val="NormalWeb"/>
        <w:rPr>
          <w:rFonts w:ascii="Arial" w:hAnsi="Arial" w:cs="Arial"/>
          <w:lang w:val="pt-BR"/>
        </w:rPr>
      </w:pPr>
      <w:r>
        <w:rPr>
          <w:rFonts w:cs="Arial" w:ascii="Arial" w:hAnsi="Arial"/>
          <w:b/>
          <w:bCs/>
          <w:lang w:val="pt-BR"/>
        </w:rPr>
        <w:t>2 Esdras.</w:t>
      </w:r>
      <w:r>
        <w:rPr>
          <w:rFonts w:cs="Arial" w:ascii="Arial" w:hAnsi="Arial"/>
          <w:lang w:val="pt-BR"/>
        </w:rPr>
        <w:t xml:space="preserve"> Também  chamado de Esdras apocalíptico segue a linha da literatura judaica apocalíptica tendo sido escrito em grego em torno do ano 100 DC. Este livro não foi incluído na Septuaginta.  A Vulgata com a sua versão latina inclui este textos a partir de transcrições medievais. </w:t>
      </w:r>
    </w:p>
    <w:p>
      <w:pPr>
        <w:pStyle w:val="NormalWeb"/>
        <w:rPr>
          <w:rFonts w:ascii="Arial" w:hAnsi="Arial" w:cs="Arial"/>
          <w:lang w:val="pt-BR"/>
        </w:rPr>
      </w:pPr>
      <w:r>
        <w:rPr>
          <w:rFonts w:cs="Arial" w:ascii="Arial" w:hAnsi="Arial"/>
          <w:lang w:val="pt-BR"/>
        </w:rPr>
        <w:t>O livro consiste na sua grande maioria de dialogos entre Esdras e os anjos com questões teológicas sobre o mal, a queda e as perseguições contra Israel. È um texto de consolo para os judeus que acabaram de ter o seu templo destruído no ano de 70 DC.</w:t>
      </w:r>
    </w:p>
    <w:p>
      <w:pPr>
        <w:pStyle w:val="NormalWeb"/>
        <w:rPr>
          <w:rFonts w:ascii="Arial" w:hAnsi="Arial" w:cs="Arial"/>
          <w:lang w:val="pt-BR"/>
        </w:rPr>
      </w:pPr>
      <w:r>
        <w:rPr>
          <w:rFonts w:cs="Arial" w:ascii="Arial" w:hAnsi="Arial"/>
          <w:lang w:val="pt-BR"/>
        </w:rPr>
        <w:t xml:space="preserve">Adquire uma simbologia do império romano como da águia de 3 cabeças que é finalmente destruída pelo Messias descrito como leão.    O livro se apresenta como um livro secreto dentro dos 70 ditados por Esdras e reservado apenas aos sábios  Segunda a Esdras foi omitido por  Martinho Lutero juntamente com 1 Esdras na compilação de apócrifos na Bíblia Germânica 1534, ambos os livros também foram rejeitados como canônicos pela igreja romanista no Concilio de Trento em 1546. Fazem parte dos livros apócrifos da versão King James.  </w:t>
      </w:r>
    </w:p>
    <w:p>
      <w:pPr>
        <w:pStyle w:val="NormalWeb"/>
        <w:rPr>
          <w:rFonts w:ascii="Arial" w:hAnsi="Arial" w:cs="Arial"/>
          <w:lang w:val="pt-BR"/>
        </w:rPr>
      </w:pPr>
      <w:r>
        <w:rPr>
          <w:rFonts w:cs="Arial" w:ascii="Arial" w:hAnsi="Arial"/>
          <w:b/>
          <w:bCs/>
          <w:lang w:val="pt-BR"/>
        </w:rPr>
        <w:t>Tobias</w:t>
      </w:r>
      <w:r>
        <w:rPr>
          <w:rFonts w:cs="Arial" w:ascii="Arial" w:hAnsi="Arial"/>
          <w:lang w:val="pt-BR"/>
        </w:rPr>
        <w:t xml:space="preserve">. Este livro foi escrito em aramaico aproximadamente 200 AC e traduzido posteriormente para o grego. Tem estilo didático e romântico. Narra a história de uma família judaica leva a Nínive durante o cativeiro babilônico. Na sua viagem Tobias é levado pelo anjo Rafael de uma virgem que tinha se casado 7 vezes mas todos os maridos haviam sido levados por um demônio na noite do casamento.   Tobias se casa com a virgem e se liberta da maldição ajudado pelo anjo e queimando o coração de peixe no quarto. Ele retorna com dinheiro de cobrança de uma divida, rico, casado e cura o seu pai cedo usando a biles do peixe. Termina com Nínive sendo destruída em juízo, existem diversas exortações piedosas.   </w:t>
      </w:r>
    </w:p>
    <w:p>
      <w:pPr>
        <w:pStyle w:val="NormalWeb"/>
        <w:rPr>
          <w:rFonts w:ascii="Arial" w:hAnsi="Arial" w:cs="Arial"/>
          <w:lang w:val="pt-BR"/>
        </w:rPr>
      </w:pPr>
      <w:r>
        <w:rPr>
          <w:rFonts w:cs="Arial" w:ascii="Arial" w:hAnsi="Arial"/>
          <w:b/>
          <w:bCs/>
          <w:lang w:val="pt-BR"/>
        </w:rPr>
        <w:t>Judite</w:t>
      </w:r>
      <w:r>
        <w:rPr>
          <w:rFonts w:cs="Arial" w:ascii="Arial" w:hAnsi="Arial"/>
          <w:lang w:val="pt-BR"/>
        </w:rPr>
        <w:t xml:space="preserve">.  Escrito em hebraico em torno do ano de 150 AC e traduzido para o grego. O texto hebraico foi perdido. Narra uma jovem e bela viúva que segue a lei mosaica e que diante de um cerco militar se dirige ao comandante inimigo, o embebeda e lhe corta a cabeça, livrando o seu povo da destruição.   </w:t>
      </w:r>
    </w:p>
    <w:p>
      <w:pPr>
        <w:pStyle w:val="NormalWeb"/>
        <w:rPr>
          <w:rFonts w:ascii="Arial" w:hAnsi="Arial" w:cs="Arial"/>
          <w:lang w:val="pt-BR"/>
        </w:rPr>
      </w:pPr>
      <w:r>
        <w:rPr>
          <w:rFonts w:cs="Arial" w:ascii="Arial" w:hAnsi="Arial"/>
          <w:b/>
          <w:bCs/>
          <w:lang w:val="pt-BR"/>
        </w:rPr>
        <w:t>Adições ao livro de Ester.</w:t>
      </w:r>
      <w:r>
        <w:rPr>
          <w:rFonts w:cs="Arial" w:ascii="Arial" w:hAnsi="Arial"/>
          <w:lang w:val="pt-BR"/>
        </w:rPr>
        <w:t xml:space="preserve"> Encontramos na Septuaginta 6 longos parágrafos disperses pelo livro, escrito provavelmente por um judeu egípcio em torno de 170 AC. Estes acréscimos tornam o livro mais religioso na sua leitura e aplicação </w:t>
      </w:r>
    </w:p>
    <w:p>
      <w:pPr>
        <w:pStyle w:val="NormalWeb"/>
        <w:rPr>
          <w:rFonts w:ascii="Arial" w:hAnsi="Arial" w:cs="Arial"/>
          <w:lang w:val="pt-BR"/>
        </w:rPr>
      </w:pPr>
      <w:r>
        <w:rPr>
          <w:rFonts w:cs="Arial" w:ascii="Arial" w:hAnsi="Arial"/>
          <w:b/>
          <w:bCs/>
          <w:lang w:val="pt-BR"/>
        </w:rPr>
        <w:t>Sabedorias de Salomão.</w:t>
      </w:r>
      <w:r>
        <w:rPr>
          <w:rFonts w:cs="Arial" w:ascii="Arial" w:hAnsi="Arial"/>
          <w:lang w:val="pt-BR"/>
        </w:rPr>
        <w:t xml:space="preserve">  Este livro de sabedoria escrito em torno do ano de 100 AC tem um caráter devocional, foi escrito em grego por um judeu em Alexandria. Existe uma comparação entre a filosofia grega e a religião judaica.  Pode ser também classificado como pseudo epigrafo pois o autor adota o nome de Salomão para atrair a atenção do leitor. </w:t>
      </w:r>
    </w:p>
    <w:p>
      <w:pPr>
        <w:pStyle w:val="NormalWeb"/>
        <w:rPr>
          <w:rFonts w:ascii="Arial" w:hAnsi="Arial" w:cs="Arial"/>
          <w:lang w:val="pt-BR"/>
        </w:rPr>
      </w:pPr>
      <w:r>
        <w:rPr>
          <w:rFonts w:cs="Arial" w:ascii="Arial" w:hAnsi="Arial"/>
          <w:b/>
          <w:bCs/>
          <w:lang w:val="pt-BR"/>
        </w:rPr>
        <w:t xml:space="preserve">Eclesiástico. </w:t>
      </w:r>
      <w:r>
        <w:rPr>
          <w:rFonts w:cs="Arial" w:ascii="Arial" w:hAnsi="Arial"/>
          <w:lang w:val="pt-BR"/>
        </w:rPr>
        <w:t xml:space="preserve">O nome original do livro era Sabedoria de Jesus filho de Siraque, tendo sido escrito em hebraico em torno do ano de 200 AC. </w:t>
      </w:r>
    </w:p>
    <w:p>
      <w:pPr>
        <w:pStyle w:val="NormalWeb"/>
        <w:rPr>
          <w:rFonts w:ascii="Arial" w:hAnsi="Arial" w:cs="Arial"/>
          <w:lang w:val="pt-BR"/>
        </w:rPr>
      </w:pPr>
      <w:r>
        <w:rPr>
          <w:rFonts w:cs="Arial" w:ascii="Arial" w:hAnsi="Arial"/>
          <w:lang w:val="pt-BR"/>
        </w:rPr>
        <w:t xml:space="preserve">O seu autor era um professor sábio com o nome de Joshua Ben Siraque, tendo sido traduzido par o grego em  135 AC. </w:t>
      </w:r>
    </w:p>
    <w:p>
      <w:pPr>
        <w:pStyle w:val="NormalWeb"/>
        <w:rPr>
          <w:rFonts w:ascii="Arial" w:hAnsi="Arial" w:cs="Arial"/>
          <w:lang w:val="pt-BR"/>
        </w:rPr>
      </w:pPr>
      <w:r>
        <w:rPr>
          <w:rFonts w:cs="Arial" w:ascii="Arial" w:hAnsi="Arial"/>
          <w:lang w:val="pt-BR"/>
        </w:rPr>
        <w:t xml:space="preserve">O livro de Eclesiástico se tornou chamado assim tendo como referencia a terminologia livro da igreja, seguindo todo o estilo literário dos livros de sabedoria, e foi empregado como livro de instruções por muitas comunidades cristãs no passado. </w:t>
      </w:r>
    </w:p>
    <w:p>
      <w:pPr>
        <w:pStyle w:val="NormalWeb"/>
        <w:rPr>
          <w:rFonts w:ascii="Arial" w:hAnsi="Arial" w:cs="Arial"/>
          <w:lang w:val="pt-BR"/>
        </w:rPr>
      </w:pPr>
      <w:r>
        <w:rPr>
          <w:rFonts w:cs="Arial" w:ascii="Arial" w:hAnsi="Arial"/>
          <w:b/>
          <w:bCs/>
          <w:lang w:val="pt-BR"/>
        </w:rPr>
        <w:t>Baruque</w:t>
      </w:r>
      <w:r>
        <w:rPr>
          <w:rFonts w:cs="Arial" w:ascii="Arial" w:hAnsi="Arial"/>
          <w:lang w:val="pt-BR"/>
        </w:rPr>
        <w:t>. Baruque se apresenta como um discípulo de Jeremias durante o tempo do exílio com redação e edição em torno do ano de 150 AC, tem 5 capítulos com exortações contra a idolatria, celebração da lei judaica, palavras de sabedoria e encorajamento.</w:t>
      </w:r>
    </w:p>
    <w:p>
      <w:pPr>
        <w:pStyle w:val="NormalWeb"/>
        <w:rPr>
          <w:rFonts w:ascii="Arial" w:hAnsi="Arial" w:cs="Arial"/>
          <w:lang w:val="pt-BR"/>
        </w:rPr>
      </w:pPr>
      <w:r>
        <w:rPr>
          <w:rFonts w:cs="Arial" w:ascii="Arial" w:hAnsi="Arial"/>
          <w:b/>
          <w:bCs/>
          <w:lang w:val="pt-BR"/>
        </w:rPr>
        <w:t>Epístola de Jeremias</w:t>
      </w:r>
      <w:r>
        <w:rPr>
          <w:rFonts w:cs="Arial" w:ascii="Arial" w:hAnsi="Arial"/>
          <w:lang w:val="pt-BR"/>
        </w:rPr>
        <w:t xml:space="preserve">. Emprega  o estilo de sarcasmo e ridículo contra o paganismo idolatra. Seria uma carta de Jeremias aos judeus no exílio babilônico escrito em torno do ano 200 AC. Pode ser encontrado como capitulo 6 do livro de Baruque.   </w:t>
      </w:r>
    </w:p>
    <w:p>
      <w:pPr>
        <w:pStyle w:val="NormalWeb"/>
        <w:rPr>
          <w:rFonts w:ascii="Arial" w:hAnsi="Arial" w:cs="Arial"/>
          <w:lang w:val="pt-BR"/>
        </w:rPr>
      </w:pPr>
      <w:r>
        <w:rPr>
          <w:rFonts w:cs="Arial" w:ascii="Arial" w:hAnsi="Arial"/>
          <w:b/>
          <w:bCs/>
          <w:lang w:val="pt-BR"/>
        </w:rPr>
        <w:t xml:space="preserve">Canção das Três Crianças Sagradas </w:t>
      </w:r>
      <w:r>
        <w:rPr>
          <w:rFonts w:cs="Arial" w:ascii="Arial" w:hAnsi="Arial"/>
          <w:lang w:val="pt-BR"/>
        </w:rPr>
        <w:t xml:space="preserve">(Inclui o Pregador de Azarias). Consiste de orações e hinos proferidos por   Shadraque, Meshaque, e Abednego, do evento da fornalha encontrado no livro de Daniel 3:23, e com o propósito de ser um aditivo.   </w:t>
      </w:r>
    </w:p>
    <w:p>
      <w:pPr>
        <w:pStyle w:val="NormalWeb"/>
        <w:rPr>
          <w:rFonts w:ascii="Arial" w:hAnsi="Arial" w:cs="Arial"/>
          <w:lang w:val="pt-BR"/>
        </w:rPr>
      </w:pPr>
      <w:r>
        <w:rPr>
          <w:rFonts w:cs="Arial" w:ascii="Arial" w:hAnsi="Arial"/>
          <w:b/>
          <w:bCs/>
          <w:lang w:val="pt-BR"/>
        </w:rPr>
        <w:t>A história de Susana</w:t>
      </w:r>
      <w:r>
        <w:rPr>
          <w:rFonts w:cs="Arial" w:ascii="Arial" w:hAnsi="Arial"/>
          <w:lang w:val="pt-BR"/>
        </w:rPr>
        <w:t>. Uma narrativa de dois homens ardilosos que tentam fazer com uma jovem, piedosa e bela mulher casada, Susana, tenha relações sexuais com eles. Diante da negativa para a prática de adultério estes dois homens provem acusação, julgamento e testemunho falso perante os anciões motivando a sua condenação à morte. Daniel divinamente inspirado motiva um segundo julgamento no qual os dois homens são condenados e executados. Esta narrativa foi interposta entre os capítulos 12 e 14 do livro de Daniel na Septuaginta</w:t>
      </w:r>
    </w:p>
    <w:p>
      <w:pPr>
        <w:pStyle w:val="NormalWeb"/>
        <w:rPr>
          <w:rFonts w:ascii="Arial" w:hAnsi="Arial" w:cs="Arial"/>
          <w:lang w:val="pt-BR"/>
        </w:rPr>
      </w:pPr>
      <w:r>
        <w:rPr>
          <w:rFonts w:cs="Arial" w:ascii="Arial" w:hAnsi="Arial"/>
          <w:b/>
          <w:bCs/>
          <w:lang w:val="pt-BR"/>
        </w:rPr>
        <w:t>Bel e o Dragão</w:t>
      </w:r>
      <w:r>
        <w:rPr>
          <w:rFonts w:cs="Arial" w:ascii="Arial" w:hAnsi="Arial"/>
          <w:lang w:val="pt-BR"/>
        </w:rPr>
        <w:t>. Em realidade são duas narrativas distintas que foram acrescentadas no final do livro de Daniel na Septuaginta.</w:t>
      </w:r>
    </w:p>
    <w:p>
      <w:pPr>
        <w:pStyle w:val="NormalWeb"/>
        <w:rPr>
          <w:rFonts w:ascii="Arial" w:hAnsi="Arial" w:cs="Arial"/>
          <w:lang w:val="pt-BR"/>
        </w:rPr>
      </w:pPr>
      <w:r>
        <w:rPr>
          <w:rFonts w:cs="Arial" w:ascii="Arial" w:hAnsi="Arial"/>
          <w:lang w:val="pt-BR"/>
        </w:rPr>
        <w:t xml:space="preserve">Na história de Bel existe a história da negativa de Daniel de realizar oferendas ao ídolo Bel. Confrontado pelo rei da Pérsia, Daniel argumentou que não se prestaria culto à um deus que não se alimenta. O rei colocou os sacerdotes de Bel à prova, estes tentaram a noite fazer desaparecer os alimentos postos para o ídolo através de uma passagem secreta, contudo Daniel na sua sabedoria havia espalhado cinzas ao redor de Bel e desmascara os sacerdotes no seu plano pelas pegadas. Os sacerdotes e o templo de Bel são destruídos pelo rei da Pérsia como final desta história. </w:t>
      </w:r>
    </w:p>
    <w:p>
      <w:pPr>
        <w:pStyle w:val="NormalWeb"/>
        <w:rPr>
          <w:rFonts w:ascii="Arial" w:hAnsi="Arial" w:cs="Arial"/>
          <w:lang w:val="pt-BR"/>
        </w:rPr>
      </w:pPr>
      <w:r>
        <w:rPr>
          <w:rFonts w:cs="Arial" w:ascii="Arial" w:hAnsi="Arial"/>
          <w:lang w:val="pt-BR"/>
        </w:rPr>
        <w:t xml:space="preserve">Na história do dragão, novamente Daniel se recusa a adorar ao único dragão vivo, sendo posto em desafio para matar o dragão sem espada ou lança. Daniel alimenta o dragão com uma mistura de gordura, cabelo e piche fazendo com ele exploda e morra. Os inimigos de Daniel a seguir coloram ele diante de leões famintos que são milagrosamente alimentados em abundância por Habacuque trazidos de Israel por </w:t>
      </w:r>
    </w:p>
    <w:p>
      <w:pPr>
        <w:pStyle w:val="NormalWeb"/>
        <w:rPr>
          <w:rFonts w:ascii="Arial" w:hAnsi="Arial" w:cs="Arial"/>
          <w:lang w:val="pt-BR"/>
        </w:rPr>
      </w:pPr>
      <w:r>
        <w:rPr>
          <w:rFonts w:cs="Arial" w:ascii="Arial" w:hAnsi="Arial"/>
          <w:b/>
          <w:bCs/>
          <w:lang w:val="pt-BR"/>
        </w:rPr>
        <w:t>Pregador de Manasses</w:t>
      </w:r>
      <w:r>
        <w:rPr>
          <w:rFonts w:cs="Arial" w:ascii="Arial" w:hAnsi="Arial"/>
          <w:lang w:val="pt-BR"/>
        </w:rPr>
        <w:t xml:space="preserve">. Esta salmo repetitivo teria sido composto quando Manasses, rei de Judá foi levado cativo à Babilônia (2 Crônicas 33:11-13). Este livro foi rejeitada pelos romanistas no Concilio de Trento em 1546.    </w:t>
      </w:r>
    </w:p>
    <w:p>
      <w:pPr>
        <w:pStyle w:val="NormalWeb"/>
        <w:rPr>
          <w:rFonts w:ascii="Arial" w:hAnsi="Arial" w:cs="Arial"/>
          <w:lang w:val="pt-BR"/>
        </w:rPr>
      </w:pPr>
      <w:r>
        <w:rPr>
          <w:rFonts w:cs="Arial" w:ascii="Arial" w:hAnsi="Arial"/>
          <w:b/>
          <w:bCs/>
          <w:lang w:val="pt-BR"/>
        </w:rPr>
        <w:t>Primeiro livro de Macabeus</w:t>
      </w:r>
      <w:r>
        <w:rPr>
          <w:rFonts w:cs="Arial" w:ascii="Arial" w:hAnsi="Arial"/>
          <w:lang w:val="pt-BR"/>
        </w:rPr>
        <w:t xml:space="preserve">. Narra a ocupação grega e a resistência judaica, escrito em hebraico entre 175 BC e 135 BC escrito originalmente em hebraico e traduzido posteriormente para o grego. Considerado como de grande valor histórico. </w:t>
      </w:r>
    </w:p>
    <w:p>
      <w:pPr>
        <w:pStyle w:val="NormalWeb"/>
        <w:rPr>
          <w:rFonts w:ascii="Arial" w:hAnsi="Arial" w:cs="Arial"/>
          <w:lang w:val="pt-BR"/>
        </w:rPr>
      </w:pPr>
      <w:r>
        <w:rPr>
          <w:rFonts w:cs="Arial" w:ascii="Arial" w:hAnsi="Arial"/>
          <w:lang w:val="pt-BR"/>
        </w:rPr>
        <w:t xml:space="preserve"> </w:t>
      </w:r>
    </w:p>
    <w:p>
      <w:pPr>
        <w:pStyle w:val="NormalWeb"/>
        <w:rPr>
          <w:rFonts w:ascii="Arial" w:hAnsi="Arial" w:cs="Arial"/>
          <w:lang w:val="pt-BR"/>
        </w:rPr>
      </w:pPr>
      <w:r>
        <w:rPr>
          <w:rFonts w:cs="Arial" w:ascii="Arial" w:hAnsi="Arial"/>
          <w:b/>
          <w:bCs/>
          <w:lang w:val="pt-BR"/>
        </w:rPr>
        <w:t>Segundo livro de Macabeus</w:t>
      </w:r>
      <w:r>
        <w:rPr>
          <w:rFonts w:cs="Arial" w:ascii="Arial" w:hAnsi="Arial"/>
          <w:lang w:val="pt-BR"/>
        </w:rPr>
        <w:t xml:space="preserve">. Diferente do primeiro livro de Macabeus, tem um foco mais religioso. Escrito posteriormente entre 161 AC e 70 DC toma uma posição contrária as ideias filosóficas interpostas pelos judeus de Alexandria do primeiro século. Alguns trechos deste livro trazem suporte a doutrina romanista de oração pelos mortos, trabalho de intercessores dos santos e purgatório. </w:t>
      </w:r>
    </w:p>
    <w:p>
      <w:pPr>
        <w:pStyle w:val="NormalWeb"/>
        <w:rPr>
          <w:rFonts w:ascii="Arial" w:hAnsi="Arial" w:cs="Arial"/>
          <w:lang w:val="pt-BR"/>
        </w:rPr>
      </w:pPr>
      <w:r>
        <w:rPr>
          <w:rFonts w:cs="Arial" w:ascii="Arial" w:hAnsi="Arial"/>
          <w:lang w:val="pt-BR"/>
        </w:rPr>
      </w:r>
    </w:p>
    <w:p>
      <w:pPr>
        <w:pStyle w:val="NormalWeb"/>
        <w:rPr>
          <w:rFonts w:ascii="Arial" w:hAnsi="Arial" w:cs="Arial"/>
          <w:lang w:val="pt-BR"/>
        </w:rPr>
      </w:pPr>
      <w:r>
        <w:rPr>
          <w:rFonts w:cs="Arial" w:ascii="Arial" w:hAnsi="Arial"/>
          <w:lang w:val="pt-BR"/>
        </w:rPr>
        <w:t xml:space="preserve">A literatura apócrifa do NT é extremamente vasta, desperta mais curiosidade pela excentricidade do seu material e diversidade do que pelas implicações históricas o doutrinárias, pelo contrária tinha forte cunho gnóstico e herético. Foi classificada em evangelhos apócrifos, literatura concernente a Pilatus,  atos dos apóstolos, tratados doutrinários apócrifos, epistolas e apocalipse apócrifos.  </w:t>
      </w:r>
    </w:p>
    <w:p>
      <w:pPr>
        <w:pStyle w:val="NormalWeb"/>
        <w:rPr>
          <w:rFonts w:ascii="Arial" w:hAnsi="Arial" w:cs="Arial"/>
          <w:lang w:val="pt-BR"/>
        </w:rPr>
      </w:pPr>
      <w:r>
        <w:rPr>
          <w:rFonts w:cs="Arial" w:ascii="Arial" w:hAnsi="Arial"/>
          <w:lang w:val="pt-BR"/>
        </w:rPr>
        <w:t>Os evangelhos apócrifos   são escritos posteriores aos Evangelhos canônicos, de redação tardia, na sua grande maioria no século II e III da era cristã. Estes evangelhos tem como finalidade descrever pontos que não foram considerados relevantes e que obviamente necessitariam maior descrição como a infância de Jesus, ministério e vida de Maria e de José.</w:t>
      </w:r>
    </w:p>
    <w:p>
      <w:pPr>
        <w:pStyle w:val="NormalWeb"/>
        <w:rPr>
          <w:rFonts w:ascii="Arial" w:hAnsi="Arial" w:cs="Arial"/>
          <w:lang w:val="pt-BR"/>
        </w:rPr>
      </w:pPr>
      <w:r>
        <w:rPr>
          <w:rFonts w:cs="Arial" w:ascii="Arial" w:hAnsi="Arial"/>
          <w:lang w:val="pt-BR"/>
        </w:rPr>
        <w:t xml:space="preserve"> </w:t>
      </w:r>
      <w:r>
        <w:rPr>
          <w:rFonts w:cs="Arial" w:ascii="Arial" w:hAnsi="Arial"/>
          <w:lang w:val="pt-BR"/>
        </w:rPr>
        <w:t>Como exemplo dos evangelhos apócrifos encontramos proto evangelho de Jacó ou evangelho da infância de Tiago ou proto evangelho de Tiago, evangelho de Mateus, evangelho de Tomé, Transitus Maria ou evangelho Joanino ou evangelho de Maria, evangelho arábico da infância, evangelho de Gamaliel, evangelho segundo os Hebreus, evangelho segundo os Egípcios, evangelho de Pedro, evangelho de Felipe, evangelho de Tomas, evangelho de Bartolomeu, evangelho dos Doze Apóstolos, outros apenas citados sem material são evangelho de André, Barnabás, Tadeu, Eva e finalmente Judas Iscariotes. Estes evangelhos apócrifos foram fortemente combatidos pela igreja no início da história cristã com forte rejeição pelos teólogos e lideres cristãos da época.</w:t>
      </w:r>
    </w:p>
    <w:p>
      <w:pPr>
        <w:pStyle w:val="NormalWeb"/>
        <w:rPr>
          <w:rFonts w:ascii="Arial" w:hAnsi="Arial" w:cs="Arial"/>
          <w:lang w:val="pt-BR"/>
        </w:rPr>
      </w:pPr>
      <w:r>
        <w:rPr>
          <w:rFonts w:cs="Arial" w:ascii="Arial" w:hAnsi="Arial"/>
          <w:lang w:val="pt-BR"/>
        </w:rPr>
        <w:t>Relato de Pilatos ao Imperador, Atos de Pilatos (evangelho de Nicodemus), livro apócrifo menor de Pilatos, narrativa de José de Arimateia, a lenda de Agar, e a carta de Lentulus são classificadas como livros apócrifos cristãos representativos de literatura concernente a Pilatus.</w:t>
      </w:r>
    </w:p>
    <w:p>
      <w:pPr>
        <w:pStyle w:val="NormalWeb"/>
        <w:rPr>
          <w:rFonts w:ascii="Arial" w:hAnsi="Arial" w:cs="Arial"/>
          <w:lang w:val="pt-BR"/>
        </w:rPr>
      </w:pPr>
      <w:r>
        <w:rPr>
          <w:rFonts w:cs="Arial" w:ascii="Arial" w:hAnsi="Arial"/>
          <w:lang w:val="pt-BR"/>
        </w:rPr>
        <w:t xml:space="preserve">Os atos dos apóstolos apócrifos estão representados pelos livros atos de Pedro, atos de André, atos de João, atos do martírio de Mateus, atos de Tomas, e atos de Bartolomeu. </w:t>
      </w:r>
    </w:p>
    <w:p>
      <w:pPr>
        <w:pStyle w:val="NormalWeb"/>
        <w:rPr>
          <w:rFonts w:ascii="Arial" w:hAnsi="Arial" w:cs="Arial"/>
          <w:lang w:val="pt-BR"/>
        </w:rPr>
      </w:pPr>
      <w:r>
        <w:rPr>
          <w:rFonts w:cs="Arial" w:ascii="Arial" w:hAnsi="Arial"/>
          <w:lang w:val="pt-BR"/>
        </w:rPr>
        <w:t xml:space="preserve">Os tratados de doutrinas apócrifos são representados pelo Testamento do Reino de Jesus,  Pregação de Pedro ou Kerigma Petrino, Juízo de Pedro ou Os dois Caminhos e Pregação de Paulo. </w:t>
      </w:r>
    </w:p>
    <w:p>
      <w:pPr>
        <w:pStyle w:val="NormalWeb"/>
        <w:rPr>
          <w:rFonts w:ascii="Arial" w:hAnsi="Arial" w:cs="Arial"/>
          <w:lang w:val="pt-BR"/>
        </w:rPr>
      </w:pPr>
      <w:r>
        <w:rPr>
          <w:rFonts w:cs="Arial" w:ascii="Arial" w:hAnsi="Arial"/>
          <w:lang w:val="pt-BR"/>
        </w:rPr>
        <w:t>As epistolas apócrifas são: Pseudo Epístolas da Virgem Abençoada, Pseudo Epistola de São Pedro à São Tiago, Pseudo Epístola aos Laodiscences, Pseudo correspondência de Paulo á Seneca.</w:t>
      </w:r>
    </w:p>
    <w:p>
      <w:pPr>
        <w:pStyle w:val="NormalWeb"/>
        <w:rPr>
          <w:rFonts w:ascii="Arial" w:hAnsi="Arial" w:cs="Arial"/>
          <w:lang w:val="pt-BR"/>
        </w:rPr>
      </w:pPr>
      <w:r>
        <w:rPr>
          <w:rFonts w:cs="Arial" w:ascii="Arial" w:hAnsi="Arial"/>
          <w:lang w:val="pt-BR"/>
        </w:rPr>
        <w:t xml:space="preserve">Os escritos de apocalipse de Maria, São Pedro, São Paulo, e Pedro são os textos representativos da literatura apócrifa que compõem este grupo particular. </w:t>
      </w:r>
    </w:p>
    <w:p>
      <w:pPr>
        <w:pStyle w:val="NormalWeb"/>
        <w:rPr>
          <w:rFonts w:ascii="Arial" w:hAnsi="Arial" w:cs="Arial"/>
          <w:lang w:val="pt-BR"/>
        </w:rPr>
      </w:pPr>
      <w:r>
        <w:rPr>
          <w:rFonts w:cs="Arial" w:ascii="Arial" w:hAnsi="Arial"/>
          <w:lang w:val="pt-BR"/>
        </w:rPr>
        <w:t xml:space="preserve">Existe um grande misticismo em torno dos apócrifos do NT, sendo o que causou e causa maior impacto é o chamado evangelho de Tome. Este material foi descoberto em versão única no Egito em 1945 próximo a Nag Hammadi, tendo sido escrito entre o ano de 60 DC e 140 DC, em língua copta. Tendo uma tendência gnóstica se inicia clamando na sua introdução: </w:t>
      </w:r>
      <w:r>
        <w:rPr>
          <w:rFonts w:cs="Arial" w:ascii="Arial" w:hAnsi="Arial"/>
          <w:i/>
          <w:iCs/>
          <w:lang w:val="pt-BR"/>
        </w:rPr>
        <w:t xml:space="preserve">Estas são as palavras ocultas que o Jesus vivente pronunciou e Didimo Judas Tome anotou e escreveu. </w:t>
      </w:r>
    </w:p>
    <w:p>
      <w:pPr>
        <w:pStyle w:val="NormalWeb"/>
        <w:rPr>
          <w:rFonts w:ascii="Arial" w:hAnsi="Arial" w:cs="Arial"/>
          <w:lang w:val="pt-BR"/>
        </w:rPr>
      </w:pPr>
      <w:r>
        <w:rPr>
          <w:rFonts w:cs="Arial" w:ascii="Arial" w:hAnsi="Arial"/>
          <w:lang w:val="pt-BR"/>
        </w:rPr>
        <w:t xml:space="preserve">O evangelho de Tomé tem diversas passagens que fazem menção a fatos descritos nos Evangelhos Canônicos, mas tem forte conteúdo herético além do seu gnosticismo marcado. È atualmente considerado material relevante de escrita e histórica do primeiro e segundo século da era cristã. </w:t>
      </w:r>
    </w:p>
    <w:p>
      <w:pPr>
        <w:pStyle w:val="NormalWeb"/>
        <w:rPr>
          <w:rFonts w:ascii="Arial" w:hAnsi="Arial" w:cs="Arial"/>
          <w:lang w:val="pt-BR"/>
        </w:rPr>
      </w:pPr>
      <w:r>
        <w:rPr>
          <w:rFonts w:cs="Arial" w:ascii="Arial" w:hAnsi="Arial"/>
          <w:lang w:val="pt-BR"/>
        </w:rPr>
        <w:t>O evangelho de Tomé é citado em diversos grupos religiosos não cristãos, exotéricos e é posicionado como um texto escondido e negado pelos cristão que omitem a verdade. Ele é um texto curto com 114 versículos, em forma de prosa em Jesus se manifesta, vou citar algumas pérolas que justificam a sua classificação como material herético e gnóstico:</w:t>
      </w:r>
    </w:p>
    <w:p>
      <w:pPr>
        <w:pStyle w:val="NormalWeb"/>
        <w:rPr>
          <w:rFonts w:ascii="Arial" w:hAnsi="Arial" w:cs="Arial"/>
          <w:lang w:val="pt-BR"/>
        </w:rPr>
      </w:pPr>
      <w:r>
        <w:rPr>
          <w:rFonts w:cs="Arial" w:ascii="Arial" w:hAnsi="Arial"/>
          <w:lang w:val="pt-BR"/>
        </w:rPr>
      </w:r>
    </w:p>
    <w:p>
      <w:pPr>
        <w:pStyle w:val="NormalWeb"/>
        <w:rPr>
          <w:rFonts w:ascii="Arial" w:hAnsi="Arial" w:cs="Arial"/>
          <w:lang w:val="pt-BR"/>
        </w:rPr>
      </w:pPr>
      <w:r>
        <w:rPr>
          <w:rFonts w:cs="Arial" w:ascii="Arial" w:hAnsi="Arial"/>
          <w:lang w:val="pt-BR"/>
        </w:rPr>
        <w:t>Evangelho de Tomé:</w:t>
      </w:r>
    </w:p>
    <w:p>
      <w:pPr>
        <w:pStyle w:val="NormalWeb"/>
        <w:rPr>
          <w:lang w:val="pt-BR"/>
        </w:rPr>
      </w:pPr>
      <w:r>
        <w:rPr>
          <w:lang w:val="pt-BR"/>
        </w:rPr>
        <w:t>(114) Simão Pedro disse-lhes: “Que Maria saia de nosso meio, pois as mulheres não são dignas da vida”.</w:t>
        <w:br/>
      </w:r>
      <w:r>
        <w:rPr>
          <w:i/>
          <w:iCs/>
          <w:lang w:val="pt-BR"/>
        </w:rPr>
        <w:t>Jesus disse: “Eu mesmo vou guiá-la para torná-la macho, para que ela também possa tornar-se um espírito vivo semelhante a vós, machos.</w:t>
      </w:r>
    </w:p>
    <w:p>
      <w:pPr>
        <w:pStyle w:val="NormalWeb"/>
        <w:rPr>
          <w:lang w:val="pt-BR"/>
        </w:rPr>
      </w:pPr>
      <w:r>
        <w:rPr>
          <w:i/>
          <w:iCs/>
          <w:lang w:val="pt-BR"/>
        </w:rPr>
        <w:t>Porque toda mulher que se tornar macho entrará no Reino do Céu</w:t>
      </w:r>
      <w:r>
        <w:rPr>
          <w:lang w:val="pt-BR"/>
        </w:rPr>
        <w:t>”.</w:t>
      </w:r>
    </w:p>
    <w:p>
      <w:pPr>
        <w:pStyle w:val="NormalWeb"/>
        <w:rPr>
          <w:lang w:val="pt-BR"/>
        </w:rPr>
      </w:pPr>
      <w:r>
        <w:rPr>
          <w:lang w:val="pt-BR"/>
        </w:rPr>
        <w:t xml:space="preserve">(1)Estes são os </w:t>
      </w:r>
      <w:r>
        <w:rPr>
          <w:i/>
          <w:iCs/>
          <w:lang w:val="pt-BR"/>
        </w:rPr>
        <w:t>ensinamentos ocultos</w:t>
      </w:r>
      <w:r>
        <w:rPr>
          <w:lang w:val="pt-BR"/>
        </w:rPr>
        <w:t xml:space="preserve"> expostos por Jesus, o vivo, que Judas Tomé, o gêmeo, escreveu</w:t>
      </w:r>
    </w:p>
    <w:p>
      <w:pPr>
        <w:pStyle w:val="NormalWeb"/>
        <w:rPr>
          <w:lang w:val="pt-BR"/>
        </w:rPr>
      </w:pPr>
      <w:r>
        <w:rPr>
          <w:lang w:val="pt-BR"/>
        </w:rPr>
        <w:t>(39) Jesus disse: “Os fariseus e os escribas tomaram as chaves da gnosis</w:t>
      </w:r>
    </w:p>
    <w:p>
      <w:pPr>
        <w:pStyle w:val="NormalWeb"/>
        <w:rPr>
          <w:lang w:val="pt-BR"/>
        </w:rPr>
      </w:pPr>
      <w:r>
        <w:rPr>
          <w:lang w:val="pt-BR"/>
        </w:rPr>
        <w:t>(105) Jesus disse: “Quem conhece o pai e a mãe será chamado filho de prostituta.”</w:t>
      </w:r>
    </w:p>
    <w:p>
      <w:pPr>
        <w:pStyle w:val="NormalWeb"/>
        <w:rPr>
          <w:rFonts w:ascii="Arial" w:hAnsi="Arial" w:cs="Arial"/>
          <w:lang w:val="pt-BR"/>
        </w:rPr>
      </w:pPr>
      <w:r>
        <w:rPr>
          <w:rFonts w:cs="Arial" w:ascii="Arial" w:hAnsi="Arial"/>
          <w:lang w:val="pt-BR"/>
        </w:rPr>
      </w:r>
    </w:p>
    <w:p>
      <w:pPr>
        <w:pStyle w:val="NormalWeb"/>
        <w:rPr>
          <w:rFonts w:ascii="Arial" w:hAnsi="Arial" w:cs="Arial"/>
          <w:lang w:val="pt-BR"/>
        </w:rPr>
      </w:pPr>
      <w:r>
        <w:rPr>
          <w:rFonts w:cs="Arial" w:ascii="Arial" w:hAnsi="Arial"/>
          <w:lang w:val="pt-BR"/>
        </w:rPr>
      </w:r>
    </w:p>
    <w:p>
      <w:pPr>
        <w:pStyle w:val="NormalWeb"/>
        <w:rPr>
          <w:lang w:val="pt-BR"/>
        </w:rPr>
      </w:pPr>
      <w:r>
        <w:rPr>
          <w:rFonts w:cs="Arial" w:ascii="Arial" w:hAnsi="Arial"/>
          <w:lang w:val="pt-BR"/>
        </w:rPr>
        <w:t xml:space="preserve"> </w:t>
      </w:r>
    </w:p>
    <w:p>
      <w:pPr>
        <w:pStyle w:val="Normal"/>
        <w:spacing w:lineRule="auto" w:line="240" w:before="0" w:after="0"/>
        <w:jc w:val="both"/>
        <w:rPr>
          <w:rFonts w:ascii="Arial" w:hAnsi="Arial" w:cs="Arial"/>
          <w:b/>
          <w:b/>
          <w:bCs/>
          <w:sz w:val="24"/>
          <w:szCs w:val="24"/>
          <w:lang w:val="pt-BR"/>
        </w:rPr>
      </w:pPr>
      <w:r>
        <w:rPr>
          <w:rFonts w:cs="Arial" w:ascii="Arial" w:hAnsi="Arial"/>
          <w:b/>
          <w:bCs/>
          <w:sz w:val="24"/>
          <w:szCs w:val="24"/>
          <w:lang w:val="pt-BR"/>
        </w:rPr>
      </w:r>
    </w:p>
    <w:p>
      <w:pPr>
        <w:pStyle w:val="Normal"/>
        <w:spacing w:lineRule="auto" w:line="240" w:before="0" w:after="0"/>
        <w:jc w:val="both"/>
        <w:rPr>
          <w:rFonts w:ascii="Arial" w:hAnsi="Arial" w:cs="Arial"/>
          <w:b/>
          <w:b/>
          <w:bCs/>
          <w:sz w:val="24"/>
          <w:szCs w:val="24"/>
          <w:lang w:val="pt-BR"/>
        </w:rPr>
      </w:pPr>
      <w:r>
        <w:rPr>
          <w:rFonts w:cs="Arial" w:ascii="Arial" w:hAnsi="Arial"/>
          <w:b/>
          <w:bCs/>
          <w:sz w:val="24"/>
          <w:szCs w:val="24"/>
          <w:lang w:val="pt-BR"/>
        </w:rPr>
      </w:r>
    </w:p>
    <w:p>
      <w:pPr>
        <w:pStyle w:val="Normal"/>
        <w:spacing w:lineRule="auto" w:line="240" w:before="0" w:after="0"/>
        <w:jc w:val="both"/>
        <w:rPr>
          <w:rFonts w:ascii="Arial" w:hAnsi="Arial" w:cs="Arial"/>
          <w:b/>
          <w:b/>
          <w:bCs/>
          <w:sz w:val="24"/>
          <w:szCs w:val="24"/>
          <w:lang w:val="pt-BR"/>
        </w:rPr>
      </w:pPr>
      <w:r>
        <w:rPr>
          <w:rFonts w:cs="Arial" w:ascii="Arial" w:hAnsi="Arial"/>
          <w:b/>
          <w:bCs/>
          <w:sz w:val="24"/>
          <w:szCs w:val="24"/>
          <w:lang w:val="pt-BR"/>
        </w:rPr>
      </w:r>
    </w:p>
    <w:p>
      <w:pPr>
        <w:pStyle w:val="NormalWeb"/>
        <w:rPr>
          <w:rFonts w:ascii="Arial" w:hAnsi="Arial" w:cs="Arial"/>
          <w:lang w:val="pt-BR"/>
        </w:rPr>
      </w:pPr>
      <w:r>
        <w:rPr>
          <w:rFonts w:cs="Arial" w:ascii="Arial" w:hAnsi="Arial"/>
          <w:u w:val="single"/>
          <w:lang w:val="pt-BR"/>
        </w:rPr>
        <w:t>Livro pseudoepígrafos</w:t>
      </w:r>
      <w:r>
        <w:rPr>
          <w:rFonts w:cs="Arial" w:ascii="Arial" w:hAnsi="Arial"/>
          <w:lang w:val="pt-BR"/>
        </w:rPr>
        <w:t xml:space="preserve"> são os livros que também não estão incluídos no canon judaico e protestante e que o verdadeiro autor empregou nome de outrem para atrair a atenção como relevância e importância, literalmente deveriam ser traduzidas </w:t>
      </w:r>
      <w:r>
        <w:rPr>
          <w:rFonts w:cs="Arial" w:ascii="Arial" w:hAnsi="Arial"/>
          <w:i/>
          <w:iCs/>
          <w:lang w:val="pt-BR"/>
        </w:rPr>
        <w:t xml:space="preserve">por livros com títulos falsos. </w:t>
      </w:r>
    </w:p>
    <w:p>
      <w:pPr>
        <w:pStyle w:val="NormalWeb"/>
        <w:rPr>
          <w:rFonts w:ascii="Arial" w:hAnsi="Arial" w:cs="Arial"/>
          <w:lang w:val="pt-BR"/>
        </w:rPr>
      </w:pPr>
      <w:r>
        <w:rPr>
          <w:rFonts w:cs="Arial" w:ascii="Arial" w:hAnsi="Arial"/>
          <w:lang w:val="pt-BR"/>
        </w:rPr>
        <w:t>No período entre 200 AC e 200 DC encontramos diversos livros que se enquadrariam nesta situação tanto na literatura religiosa judaica como cristã.</w:t>
      </w:r>
    </w:p>
    <w:p>
      <w:pPr>
        <w:pStyle w:val="NormalWeb"/>
        <w:rPr>
          <w:rFonts w:ascii="Arial" w:hAnsi="Arial" w:cs="Arial"/>
          <w:lang w:val="pt-BR"/>
        </w:rPr>
      </w:pPr>
      <w:r>
        <w:rPr>
          <w:rFonts w:cs="Arial" w:ascii="Arial" w:hAnsi="Arial"/>
          <w:lang w:val="pt-BR"/>
        </w:rPr>
        <w:t xml:space="preserve">No judaísmo encontramos: Livro dos Jubileus, Livro de Enoque, Salmos de Salomão, Livro ou testamento da Ascensão de Moises, Testamento dos doze patriarcas, Oráculos Sibilianos, Apocalipse de Baruque e fragmentos do documento de Damasco encontrado nos textos do mar morto. </w:t>
      </w:r>
    </w:p>
    <w:p>
      <w:pPr>
        <w:pStyle w:val="NormalWeb"/>
        <w:rPr>
          <w:rFonts w:ascii="Arial" w:hAnsi="Arial" w:cs="Arial"/>
          <w:lang w:val="pt-BR"/>
        </w:rPr>
      </w:pPr>
      <w:r>
        <w:rPr>
          <w:rFonts w:cs="Arial" w:ascii="Arial" w:hAnsi="Arial"/>
          <w:lang w:val="pt-BR"/>
        </w:rPr>
        <w:t xml:space="preserve">No cristianismo encontramos diversos exemplos deste tipo de literatura sendo algumas traduções de livros que originalmente teriam origem judaica e são encontrados em grego, eslovaco e mesmo outras línguas incluem: Apocalipse de Pedro, Pastor de Hermas, Ascensão de Isaias, Evangelho de Tomas, Proto evangelho de Tiago, Apocalipse de Adão, Evangelho de Nicodemus. Muitos destes livros têm apologia fortemente gnóstica. </w:t>
      </w:r>
    </w:p>
    <w:p>
      <w:pPr>
        <w:pStyle w:val="Ttulo3"/>
        <w:rPr>
          <w:rFonts w:ascii="Arial" w:hAnsi="Arial" w:cs="Arial"/>
          <w:b w:val="false"/>
          <w:b w:val="false"/>
          <w:bCs w:val="false"/>
          <w:sz w:val="24"/>
          <w:szCs w:val="24"/>
          <w:lang w:val="pt-BR"/>
        </w:rPr>
      </w:pPr>
      <w:r>
        <w:rPr>
          <w:rFonts w:cs="Arial" w:ascii="Arial" w:hAnsi="Arial"/>
          <w:b w:val="false"/>
          <w:bCs w:val="false"/>
          <w:sz w:val="24"/>
          <w:szCs w:val="24"/>
          <w:lang w:val="pt-BR"/>
        </w:rPr>
      </w:r>
    </w:p>
    <w:p>
      <w:pPr>
        <w:pStyle w:val="NormalWeb"/>
        <w:rPr>
          <w:rFonts w:ascii="Arial" w:hAnsi="Arial" w:cs="Arial"/>
          <w:b/>
          <w:b/>
          <w:bCs/>
          <w:lang w:val="pt-BR"/>
        </w:rPr>
      </w:pPr>
      <w:r>
        <w:rPr>
          <w:rFonts w:cs="Arial" w:ascii="Arial" w:hAnsi="Arial"/>
          <w:b/>
          <w:bCs/>
          <w:lang w:val="pt-BR"/>
        </w:rPr>
        <w:t>Livro de Enoque.</w:t>
      </w:r>
    </w:p>
    <w:p>
      <w:pPr>
        <w:pStyle w:val="NormalWeb"/>
        <w:rPr>
          <w:rFonts w:ascii="Arial" w:hAnsi="Arial" w:cs="Arial"/>
          <w:lang w:val="pt-BR"/>
        </w:rPr>
      </w:pPr>
      <w:r>
        <w:rPr>
          <w:rFonts w:cs="Arial" w:ascii="Arial" w:hAnsi="Arial"/>
          <w:lang w:val="pt-BR"/>
        </w:rPr>
        <w:t xml:space="preserve"> </w:t>
      </w:r>
      <w:r>
        <w:rPr>
          <w:rFonts w:cs="Arial" w:ascii="Arial" w:hAnsi="Arial"/>
          <w:lang w:val="pt-BR"/>
        </w:rPr>
        <w:t xml:space="preserve">Este livro teria sua origem na palestina, tendo como autor provável Judas, escrito originalmente em grego. Composto por uma introdução breve de cinco capítulos, corpo do livro de cinco partes e uma conclusão. Diversas partes são consideradas doutrinariamente espúrias frente ao judaísmo e cristianismo. Admite-se que pelo menos parte do material teria sido escrito em 175 AC. </w:t>
      </w:r>
    </w:p>
    <w:p>
      <w:pPr>
        <w:pStyle w:val="NormalWeb"/>
        <w:rPr>
          <w:rFonts w:ascii="Arial" w:hAnsi="Arial" w:cs="Arial"/>
          <w:lang w:val="pt-BR"/>
        </w:rPr>
      </w:pPr>
      <w:r>
        <w:rPr>
          <w:rFonts w:cs="Arial" w:ascii="Arial" w:hAnsi="Arial"/>
          <w:lang w:val="pt-BR"/>
        </w:rPr>
        <w:t xml:space="preserve">Considerado o livro mais complexo e representativo deste grupo de livros, descreve a queda dos anjos e suas consequências, reino dos céus, o advento do Messias. Abordando uma linguagem apocalíptica emprega diversos pontos doutrinários que são abordados no NT, compreende 108 capítulos. </w:t>
      </w:r>
    </w:p>
    <w:p>
      <w:pPr>
        <w:pStyle w:val="NormalWeb"/>
        <w:rPr>
          <w:rFonts w:ascii="Arial" w:hAnsi="Arial" w:cs="Arial"/>
          <w:lang w:val="pt-BR"/>
        </w:rPr>
      </w:pPr>
      <w:r>
        <w:rPr>
          <w:rFonts w:cs="Arial" w:ascii="Arial" w:hAnsi="Arial"/>
          <w:lang w:val="pt-BR"/>
        </w:rPr>
      </w:r>
    </w:p>
    <w:p>
      <w:pPr>
        <w:pStyle w:val="NormalWeb"/>
        <w:rPr>
          <w:rFonts w:ascii="Arial" w:hAnsi="Arial" w:cs="Arial"/>
          <w:lang w:val="pt-BR"/>
        </w:rPr>
      </w:pPr>
      <w:r>
        <w:rPr>
          <w:rFonts w:cs="Arial" w:ascii="Arial" w:hAnsi="Arial"/>
          <w:lang w:val="pt-BR"/>
        </w:rPr>
        <w:t>Existiria uma similaridade entre Judas e Enoque que seria porque Judas teria empregado o livro de Enoque como fonte direta.</w:t>
      </w:r>
    </w:p>
    <w:p>
      <w:pPr>
        <w:pStyle w:val="Normal"/>
        <w:spacing w:lineRule="auto" w:line="240" w:beforeAutospacing="1" w:afterAutospacing="1"/>
        <w:rPr>
          <w:rFonts w:eastAsia="Times New Roman" w:asciiTheme="minorBidi" w:hAnsiTheme="minorBidi"/>
          <w:sz w:val="20"/>
          <w:szCs w:val="20"/>
          <w:lang w:val="pt-PT" w:bidi="he-IL"/>
        </w:rPr>
      </w:pPr>
      <w:r>
        <w:rPr>
          <w:rFonts w:eastAsia="Times New Roman" w:asciiTheme="minorBidi" w:hAnsiTheme="minorBidi"/>
          <w:sz w:val="20"/>
          <w:szCs w:val="20"/>
          <w:lang w:val="pt-PT" w:bidi="he-IL"/>
        </w:rPr>
        <w:t>Judas 1:14: E destes profetizou também Enoque, o sétimo depois de Adão, dizendo: Eis que é vindo o Senhor com milhares de seus santos;</w:t>
      </w:r>
    </w:p>
    <w:p>
      <w:pPr>
        <w:pStyle w:val="Normal"/>
        <w:spacing w:lineRule="auto" w:line="240" w:beforeAutospacing="1" w:afterAutospacing="1"/>
        <w:rPr>
          <w:rFonts w:eastAsia="Times New Roman" w:asciiTheme="minorBidi" w:hAnsiTheme="minorBidi"/>
          <w:sz w:val="20"/>
          <w:szCs w:val="20"/>
          <w:lang w:val="pt-PT" w:bidi="he-IL"/>
        </w:rPr>
      </w:pPr>
      <w:r>
        <w:rPr>
          <w:rFonts w:eastAsia="Times New Roman" w:asciiTheme="minorBidi" w:hAnsiTheme="minorBidi"/>
          <w:sz w:val="20"/>
          <w:szCs w:val="20"/>
          <w:lang w:val="pt-PT" w:bidi="he-IL"/>
        </w:rPr>
        <w:t xml:space="preserve">Enoque.60.8: O homem chamado de Behe moth ocupa (com o seus sopro) uma porção do deserto chamada de Dendain a este do jardim onde os escolhidos e abençoados vão habitar, onde o meu avô foi tomado, o sétimo depois de Adão, o primeiro homem que o Senhor dos espiritos fez. </w:t>
      </w:r>
    </w:p>
    <w:p>
      <w:pPr>
        <w:pStyle w:val="Normal"/>
        <w:spacing w:lineRule="auto" w:line="240" w:before="0" w:after="0"/>
        <w:rPr>
          <w:rFonts w:asciiTheme="minorBidi" w:hAnsiTheme="minorBidi"/>
          <w:sz w:val="20"/>
          <w:szCs w:val="20"/>
          <w:lang w:val="pt-BR" w:bidi="he-IL"/>
        </w:rPr>
      </w:pPr>
      <w:r>
        <w:rPr>
          <w:rFonts w:asciiTheme="minorBidi" w:hAnsiTheme="minorBidi"/>
          <w:sz w:val="20"/>
          <w:szCs w:val="20"/>
          <w:lang w:val="pt-BR" w:bidi="he-IL"/>
        </w:rPr>
        <w:t>Judas 1:14s-15: Eis que é vindo o Senhor com milhares de seus santos;</w:t>
      </w:r>
    </w:p>
    <w:p>
      <w:pPr>
        <w:pStyle w:val="Normal"/>
        <w:spacing w:lineRule="auto" w:line="240" w:before="0" w:after="0"/>
        <w:rPr>
          <w:rFonts w:asciiTheme="minorBidi" w:hAnsiTheme="minorBidi"/>
          <w:sz w:val="20"/>
          <w:szCs w:val="20"/>
          <w:lang w:val="pt-BR" w:bidi="he-IL"/>
        </w:rPr>
      </w:pPr>
      <w:r>
        <w:rPr>
          <w:rFonts w:asciiTheme="minorBidi" w:hAnsiTheme="minorBidi"/>
          <w:sz w:val="20"/>
          <w:szCs w:val="20"/>
          <w:lang w:val="pt-BR" w:bidi="he-IL"/>
        </w:rPr>
        <w:t>Para fazer juízo contra todos e condenar dentre eles todos os ímpios, por todas as suas obras de impiedade, que impiamente cometeram, e por todas as duras palavras que ímpios pecadores disseram contra ele</w:t>
      </w:r>
    </w:p>
    <w:p>
      <w:pPr>
        <w:pStyle w:val="Normal"/>
        <w:spacing w:lineRule="auto" w:line="240" w:before="0" w:after="0"/>
        <w:rPr>
          <w:rFonts w:asciiTheme="minorBidi" w:hAnsiTheme="minorBidi"/>
          <w:sz w:val="20"/>
          <w:szCs w:val="20"/>
          <w:lang w:val="pt-BR" w:bidi="he-IL"/>
        </w:rPr>
      </w:pPr>
      <w:r>
        <w:rPr>
          <w:rFonts w:asciiTheme="minorBidi" w:hAnsiTheme="minorBidi"/>
          <w:sz w:val="20"/>
          <w:szCs w:val="20"/>
          <w:lang w:val="pt-BR" w:bidi="he-IL"/>
        </w:rPr>
      </w:r>
    </w:p>
    <w:p>
      <w:pPr>
        <w:pStyle w:val="Normal"/>
        <w:spacing w:lineRule="auto" w:line="240" w:before="0" w:after="0"/>
        <w:rPr>
          <w:rFonts w:asciiTheme="minorBidi" w:hAnsiTheme="minorBidi"/>
          <w:sz w:val="24"/>
          <w:szCs w:val="24"/>
          <w:lang w:val="pt-BR" w:bidi="he-IL"/>
        </w:rPr>
      </w:pPr>
      <w:r>
        <w:rPr>
          <w:rFonts w:asciiTheme="minorBidi" w:hAnsiTheme="minorBidi"/>
          <w:sz w:val="20"/>
          <w:szCs w:val="20"/>
          <w:lang w:val="pt-BR" w:bidi="he-IL"/>
        </w:rPr>
        <w:t>Enoque 1:9 Eis que Ele vem com dezenas de milhares (miríades) dos seus santos para executar julgamento sobre eles, e vai destruir o ímpio, e vai chamar a julgamento toda a carne para tudo que os pecadores e ímpios fizeram e cometeram contra Ele</w:t>
      </w:r>
      <w:r>
        <w:rPr>
          <w:rFonts w:asciiTheme="minorBidi" w:hAnsiTheme="minorBidi"/>
          <w:sz w:val="24"/>
          <w:szCs w:val="24"/>
          <w:lang w:val="pt-BR" w:bidi="he-IL"/>
        </w:rPr>
        <w:t>.</w:t>
      </w:r>
    </w:p>
    <w:p>
      <w:pPr>
        <w:pStyle w:val="Normal"/>
        <w:spacing w:lineRule="auto" w:line="240" w:before="0" w:after="0"/>
        <w:rPr>
          <w:rFonts w:asciiTheme="minorBidi" w:hAnsiTheme="minorBidi"/>
          <w:sz w:val="24"/>
          <w:szCs w:val="24"/>
          <w:lang w:val="pt-BR"/>
        </w:rPr>
      </w:pPr>
      <w:r>
        <w:rPr>
          <w:rFonts w:asciiTheme="minorBidi" w:hAnsiTheme="minorBidi"/>
          <w:sz w:val="24"/>
          <w:szCs w:val="24"/>
          <w:lang w:val="pt-BR"/>
        </w:rPr>
      </w:r>
    </w:p>
    <w:p>
      <w:pPr>
        <w:pStyle w:val="NormalWeb"/>
        <w:rPr>
          <w:rFonts w:ascii="Arial" w:hAnsi="Arial" w:cs="Arial"/>
          <w:lang w:val="pt-BR"/>
        </w:rPr>
      </w:pPr>
      <w:r>
        <w:rPr>
          <w:rFonts w:cs="Arial" w:ascii="Arial" w:hAnsi="Arial"/>
          <w:lang w:val="pt-BR"/>
        </w:rPr>
        <w:t xml:space="preserve">A comparação dos versículos considerando a dificuldade que existe em traduzir os textos de Enoque pela limitação de manuscrito devemos melhor compreender que provavelmente os dois autores empregaram fontes orais prováveis similares e não que um tenha se apoiado no outro. </w:t>
      </w:r>
    </w:p>
    <w:p>
      <w:pPr>
        <w:pStyle w:val="NormalWeb"/>
        <w:rPr>
          <w:rFonts w:ascii="Arial" w:hAnsi="Arial" w:cs="Arial"/>
          <w:b/>
          <w:b/>
          <w:bCs/>
          <w:lang w:val="pt-BR"/>
        </w:rPr>
      </w:pPr>
      <w:r>
        <w:rPr>
          <w:rFonts w:cs="Arial" w:ascii="Arial" w:hAnsi="Arial"/>
          <w:b/>
          <w:bCs/>
          <w:lang w:val="pt-BR"/>
        </w:rPr>
      </w:r>
    </w:p>
    <w:p>
      <w:pPr>
        <w:pStyle w:val="NormalWeb"/>
        <w:rPr>
          <w:rFonts w:ascii="Arial" w:hAnsi="Arial" w:cs="Arial"/>
          <w:lang w:val="pt-BR"/>
        </w:rPr>
      </w:pPr>
      <w:r>
        <w:rPr>
          <w:rFonts w:cs="Arial" w:ascii="Arial" w:hAnsi="Arial"/>
          <w:b/>
          <w:bCs/>
          <w:lang w:val="pt-BR"/>
        </w:rPr>
        <w:t>Orações Sibilianas</w:t>
      </w:r>
      <w:r>
        <w:rPr>
          <w:rFonts w:cs="Arial" w:ascii="Arial" w:hAnsi="Arial"/>
          <w:lang w:val="pt-BR"/>
        </w:rPr>
        <w:t>. Originalmente escritas em grego, consistem de 12 livros com diversos fragmentos. Aborda a esperança messiana, com narrativa influenciada pelo helenismo contaminando o pensamento judaico que promove uma tentativa de união entre as duas culturas. Inclui a narrativa do homem nos seus primeiros momentos curiosamente mesclado com passagens do VT. Os feitos heroicos típicos da literatura grega tomam um aspecto judaizante tendo como centro Israel e David, a torre de Babel se tornou a rebelião dos Titans,  Urano Noé,</w:t>
      </w:r>
    </w:p>
    <w:p>
      <w:pPr>
        <w:pStyle w:val="NormalWeb"/>
        <w:rPr>
          <w:rFonts w:ascii="Arial" w:hAnsi="Arial" w:cs="Arial"/>
          <w:lang w:val="pt-BR"/>
        </w:rPr>
      </w:pPr>
      <w:r>
        <w:rPr>
          <w:rFonts w:cs="Arial" w:ascii="Arial" w:hAnsi="Arial"/>
          <w:lang w:val="pt-BR"/>
        </w:rPr>
        <w:t xml:space="preserve">Existe duvida sobre o seu período de composição e redação final, admitindo um período longo desde 160 AC até 300 DC. </w:t>
      </w:r>
    </w:p>
    <w:p>
      <w:pPr>
        <w:pStyle w:val="NormalWeb"/>
        <w:rPr>
          <w:rFonts w:ascii="Arial" w:hAnsi="Arial" w:cs="Arial"/>
          <w:b/>
          <w:b/>
          <w:bCs/>
          <w:lang w:val="pt-BR"/>
        </w:rPr>
      </w:pPr>
      <w:r>
        <w:rPr>
          <w:rFonts w:cs="Arial" w:ascii="Arial" w:hAnsi="Arial"/>
          <w:b/>
          <w:bCs/>
          <w:lang w:val="pt-BR"/>
        </w:rPr>
      </w:r>
    </w:p>
    <w:p>
      <w:pPr>
        <w:pStyle w:val="NormalWeb"/>
        <w:rPr>
          <w:rFonts w:ascii="Arial" w:hAnsi="Arial" w:cs="Arial"/>
          <w:lang w:val="pt-BR"/>
        </w:rPr>
      </w:pPr>
      <w:r>
        <w:rPr>
          <w:rFonts w:cs="Arial" w:ascii="Arial" w:hAnsi="Arial"/>
          <w:b/>
          <w:bCs/>
          <w:lang w:val="pt-BR"/>
        </w:rPr>
        <w:t>Salmos de Salomão</w:t>
      </w:r>
      <w:r>
        <w:rPr>
          <w:rFonts w:cs="Arial" w:ascii="Arial" w:hAnsi="Arial"/>
          <w:lang w:val="pt-BR"/>
        </w:rPr>
        <w:t>.</w:t>
      </w:r>
    </w:p>
    <w:p>
      <w:pPr>
        <w:pStyle w:val="NormalWeb"/>
        <w:rPr>
          <w:rFonts w:ascii="Arial" w:hAnsi="Arial" w:cs="Arial"/>
          <w:lang w:val="pt-BR"/>
        </w:rPr>
      </w:pPr>
      <w:r>
        <w:rPr>
          <w:rFonts w:cs="Arial" w:ascii="Arial" w:hAnsi="Arial"/>
          <w:lang w:val="pt-BR"/>
        </w:rPr>
        <w:t xml:space="preserve">Este livro é composto por 18 hinos que foram originalmente escritos em hebraico, provavelmente 50 AC, adquirem um caráter espiritual, mas pode-se observar um preceito farisaico nas afirmações. Apésar de influência helenista também incorpora o messianismo,  convicção na ressurreição, vida eterna e punição. </w:t>
      </w:r>
    </w:p>
    <w:p>
      <w:pPr>
        <w:pStyle w:val="NormalWeb"/>
        <w:rPr>
          <w:rFonts w:ascii="Arial" w:hAnsi="Arial" w:cs="Arial"/>
          <w:lang w:val="pt-BR"/>
        </w:rPr>
      </w:pPr>
      <w:r>
        <w:rPr>
          <w:rFonts w:cs="Arial" w:ascii="Arial" w:hAnsi="Arial"/>
          <w:lang w:val="pt-BR"/>
        </w:rPr>
      </w:r>
    </w:p>
    <w:p>
      <w:pPr>
        <w:pStyle w:val="NormalWeb"/>
        <w:rPr>
          <w:rFonts w:ascii="Arial" w:hAnsi="Arial" w:cs="Arial"/>
          <w:lang w:val="pt-BR"/>
        </w:rPr>
      </w:pPr>
      <w:r>
        <w:rPr>
          <w:rFonts w:cs="Arial" w:ascii="Arial" w:hAnsi="Arial"/>
          <w:lang w:val="pt-BR"/>
        </w:rPr>
        <w:t xml:space="preserve"> </w:t>
      </w:r>
      <w:r>
        <w:rPr>
          <w:rFonts w:cs="Arial" w:ascii="Arial" w:hAnsi="Arial"/>
          <w:b/>
          <w:bCs/>
          <w:lang w:val="pt-BR"/>
        </w:rPr>
        <w:t>Livro dos Jubileus</w:t>
      </w:r>
      <w:r>
        <w:rPr>
          <w:rFonts w:cs="Arial" w:ascii="Arial" w:hAnsi="Arial"/>
          <w:lang w:val="pt-BR"/>
        </w:rPr>
        <w:t xml:space="preserve">. Profere ser uma revelação direta de Moises está preservado em tradução etíope e em latim, corresponderia ao período de 4 dias no Monte Sinai preenchendo a lacuna aparente na história narrada em Genesis. Recebe também o nome de pequeno Genesis. </w:t>
      </w:r>
    </w:p>
    <w:p>
      <w:pPr>
        <w:pStyle w:val="NormalWeb"/>
        <w:rPr>
          <w:rFonts w:ascii="Arial" w:hAnsi="Arial" w:cs="Arial"/>
          <w:lang w:val="pt-BR"/>
        </w:rPr>
      </w:pPr>
      <w:r>
        <w:rPr>
          <w:rFonts w:cs="Arial" w:ascii="Arial" w:hAnsi="Arial"/>
          <w:lang w:val="pt-BR"/>
        </w:rPr>
        <w:t xml:space="preserve">Teria sido escrito originalmente em hebraico ou mesmo aramaico na época de Jesus e tem um forte caráter anti Romano. Adquiriu este nome pela divisão cronológica que os judeus dão baseada no período de jubileus desde a fundação do mundo até a entrada em Canaã, período de 49 anos em50 ciclos (2450 anos). </w:t>
      </w:r>
    </w:p>
    <w:p>
      <w:pPr>
        <w:pStyle w:val="NormalWeb"/>
        <w:rPr>
          <w:rFonts w:ascii="Arial" w:hAnsi="Arial" w:cs="Arial"/>
          <w:lang w:val="pt-BR"/>
        </w:rPr>
      </w:pPr>
      <w:r>
        <w:rPr>
          <w:rFonts w:cs="Arial" w:ascii="Arial" w:hAnsi="Arial"/>
          <w:lang w:val="pt-BR"/>
        </w:rPr>
      </w:r>
    </w:p>
    <w:p>
      <w:pPr>
        <w:pStyle w:val="NormalWeb"/>
        <w:rPr>
          <w:rFonts w:ascii="Arial" w:hAnsi="Arial" w:cs="Arial"/>
          <w:lang w:val="pt-BR"/>
        </w:rPr>
      </w:pPr>
      <w:r>
        <w:rPr>
          <w:rFonts w:cs="Arial" w:ascii="Arial" w:hAnsi="Arial"/>
          <w:lang w:val="pt-BR"/>
        </w:rPr>
        <w:t xml:space="preserve"> </w:t>
      </w:r>
      <w:r>
        <w:rPr>
          <w:rFonts w:cs="Arial" w:ascii="Arial" w:hAnsi="Arial"/>
          <w:b/>
          <w:bCs/>
          <w:lang w:val="pt-BR"/>
        </w:rPr>
        <w:t>Quarto livro de Esdras.</w:t>
      </w:r>
      <w:r>
        <w:rPr>
          <w:rFonts w:cs="Arial" w:ascii="Arial" w:hAnsi="Arial"/>
          <w:lang w:val="pt-BR"/>
        </w:rPr>
        <w:t xml:space="preserve"> </w:t>
      </w:r>
    </w:p>
    <w:p>
      <w:pPr>
        <w:pStyle w:val="NormalWeb"/>
        <w:rPr>
          <w:rFonts w:ascii="Arial" w:hAnsi="Arial" w:cs="Arial"/>
          <w:lang w:val="pt-BR"/>
        </w:rPr>
      </w:pPr>
      <w:r>
        <w:rPr>
          <w:rFonts w:cs="Arial" w:ascii="Arial" w:hAnsi="Arial"/>
          <w:lang w:val="pt-BR"/>
        </w:rPr>
        <w:t xml:space="preserve">Escrito no primeiro século da era cristã originalmente em grego, foi preservado em Latim, arábico, siríaco, etíope e armênio.Aborda essencialmente o mistério da queda de Israel e sua restauração.  </w:t>
      </w:r>
    </w:p>
    <w:p>
      <w:pPr>
        <w:pStyle w:val="NormalWeb"/>
        <w:rPr>
          <w:rFonts w:ascii="Arial" w:hAnsi="Arial" w:cs="Arial"/>
          <w:lang w:val="pt-BR"/>
        </w:rPr>
      </w:pPr>
      <w:r>
        <w:rPr>
          <w:rFonts w:cs="Arial" w:ascii="Arial" w:hAnsi="Arial"/>
          <w:lang w:val="pt-BR"/>
        </w:rPr>
        <w:t xml:space="preserve">6. Ascensão e Visão de Isaias. Descreve o martírio do profeta Isaias com uma interpolação ao sacrifício de Cristo e com porções apocalípticas. Considerado de autoria cristã e herética existe somente em traduções para o etíope. </w:t>
      </w:r>
    </w:p>
    <w:p>
      <w:pPr>
        <w:pStyle w:val="NormalWeb"/>
        <w:rPr>
          <w:rFonts w:ascii="Arial" w:hAnsi="Arial" w:cs="Arial"/>
          <w:b/>
          <w:b/>
          <w:bCs/>
          <w:lang w:val="pt-BR"/>
        </w:rPr>
      </w:pPr>
      <w:r>
        <w:rPr>
          <w:rFonts w:cs="Arial" w:ascii="Arial" w:hAnsi="Arial"/>
          <w:b/>
          <w:bCs/>
          <w:lang w:val="pt-BR"/>
        </w:rPr>
      </w:r>
    </w:p>
    <w:p>
      <w:pPr>
        <w:pStyle w:val="NormalWeb"/>
        <w:rPr>
          <w:rFonts w:ascii="Arial" w:hAnsi="Arial" w:cs="Arial"/>
          <w:lang w:val="pt-BR"/>
        </w:rPr>
      </w:pPr>
      <w:r>
        <w:rPr>
          <w:rFonts w:cs="Arial" w:ascii="Arial" w:hAnsi="Arial"/>
          <w:b/>
          <w:bCs/>
          <w:lang w:val="pt-BR"/>
        </w:rPr>
        <w:t>Ascensão de Moises.</w:t>
      </w:r>
      <w:r>
        <w:rPr>
          <w:rFonts w:cs="Arial" w:ascii="Arial" w:hAnsi="Arial"/>
          <w:lang w:val="pt-BR"/>
        </w:rPr>
        <w:t xml:space="preserve">  </w:t>
      </w:r>
    </w:p>
    <w:p>
      <w:pPr>
        <w:pStyle w:val="NormalWeb"/>
        <w:rPr>
          <w:rFonts w:ascii="Arial" w:hAnsi="Arial" w:cs="Arial"/>
          <w:lang w:val="pt-BR"/>
        </w:rPr>
      </w:pPr>
      <w:r>
        <w:rPr>
          <w:rFonts w:cs="Arial" w:ascii="Arial" w:hAnsi="Arial"/>
          <w:color w:val="000000"/>
          <w:sz w:val="23"/>
          <w:szCs w:val="23"/>
          <w:lang w:val="pt-BR"/>
        </w:rPr>
        <w:t>Este livro foi considerado perdido por muitos séculos com citação de Origines e descoberto em 1861 por Ceriane com um fragmento extenso de um original do século VI é a</w:t>
      </w:r>
      <w:r>
        <w:rPr>
          <w:rFonts w:cs="Arial" w:ascii="Arial" w:hAnsi="Arial"/>
          <w:lang w:val="pt-BR"/>
        </w:rPr>
        <w:t xml:space="preserve">tribuída a Judas. Não se dispõem do original hebraico existindo somente como tradução e fragmentos, consiste de doze capítulos. A parte inicial como introdução apresenta Moises transferindo a Josué o futuro de Israel no tempo de Varus. Escrito provavelmente no segundo século antes de Cristo tem um cunho fortemente anti farisaico e se sobrepõem em algumas partes a 2 Timóteo 3:1-5 e Ascensão de Moises 7:3-10. Alem de uma visão apocalíptica encontramos no dialogo entre Moises e Josué uma tendência a espiritualidade elevada. </w:t>
      </w:r>
    </w:p>
    <w:p>
      <w:pPr>
        <w:pStyle w:val="NormalWeb"/>
        <w:rPr>
          <w:rFonts w:ascii="Arial" w:hAnsi="Arial" w:cs="Arial"/>
          <w:color w:val="333333"/>
          <w:lang w:val="pt-PT"/>
        </w:rPr>
      </w:pPr>
      <w:r>
        <w:rPr>
          <w:rStyle w:val="Hps"/>
          <w:rFonts w:cs="Arial" w:ascii="Arial" w:hAnsi="Arial"/>
          <w:color w:val="333333"/>
          <w:lang w:val="pt-PT"/>
        </w:rPr>
        <w:t>Ascensão de Moises: 3:7: ...............</w:t>
      </w:r>
      <w:r>
        <w:rPr>
          <w:rFonts w:cs="Arial" w:ascii="Arial" w:hAnsi="Arial"/>
          <w:color w:val="333333"/>
          <w:lang w:val="pt-PT"/>
        </w:rPr>
        <w:t xml:space="preserve"> </w:t>
      </w:r>
      <w:r>
        <w:rPr>
          <w:rStyle w:val="Hps"/>
          <w:rFonts w:cs="Arial" w:ascii="Arial" w:hAnsi="Arial"/>
          <w:color w:val="333333"/>
          <w:lang w:val="pt-PT"/>
        </w:rPr>
        <w:t>.</w:t>
      </w:r>
      <w:r>
        <w:rPr>
          <w:rFonts w:cs="Arial" w:ascii="Arial" w:hAnsi="Arial"/>
          <w:color w:val="333333"/>
          <w:lang w:val="pt-PT"/>
        </w:rPr>
        <w:t xml:space="preserve"> </w:t>
      </w:r>
      <w:r>
        <w:rPr>
          <w:rStyle w:val="Hps"/>
          <w:rFonts w:cs="Arial" w:ascii="Arial" w:hAnsi="Arial"/>
          <w:color w:val="333333"/>
          <w:lang w:val="pt-PT"/>
        </w:rPr>
        <w:t>.</w:t>
      </w:r>
      <w:r>
        <w:rPr>
          <w:rFonts w:cs="Arial" w:ascii="Arial" w:hAnsi="Arial"/>
          <w:color w:val="333333"/>
          <w:lang w:val="pt-PT"/>
        </w:rPr>
        <w:t xml:space="preserve"> </w:t>
      </w:r>
      <w:r>
        <w:rPr>
          <w:rStyle w:val="Hps"/>
          <w:rFonts w:cs="Arial" w:ascii="Arial" w:hAnsi="Arial"/>
          <w:color w:val="333333"/>
          <w:lang w:val="pt-PT"/>
        </w:rPr>
        <w:t>.</w:t>
      </w:r>
      <w:r>
        <w:rPr>
          <w:rFonts w:cs="Arial" w:ascii="Arial" w:hAnsi="Arial"/>
          <w:color w:val="333333"/>
          <w:lang w:val="pt-PT"/>
        </w:rPr>
        <w:t xml:space="preserve"> </w:t>
      </w:r>
      <w:r>
        <w:rPr>
          <w:rStyle w:val="Hps"/>
          <w:rFonts w:cs="Arial" w:ascii="Arial" w:hAnsi="Arial"/>
          <w:color w:val="333333"/>
          <w:lang w:val="pt-PT"/>
        </w:rPr>
        <w:t>E,</w:t>
      </w:r>
      <w:r>
        <w:rPr>
          <w:rFonts w:cs="Arial" w:ascii="Arial" w:hAnsi="Arial"/>
          <w:color w:val="333333"/>
          <w:lang w:val="pt-PT"/>
        </w:rPr>
        <w:t xml:space="preserve"> </w:t>
      </w:r>
      <w:r>
        <w:rPr>
          <w:rStyle w:val="Hps"/>
          <w:rFonts w:cs="Arial" w:ascii="Arial" w:hAnsi="Arial"/>
          <w:color w:val="333333"/>
          <w:lang w:val="pt-PT"/>
        </w:rPr>
        <w:t>no tempo</w:t>
      </w:r>
      <w:r>
        <w:rPr>
          <w:rFonts w:cs="Arial" w:ascii="Arial" w:hAnsi="Arial"/>
          <w:color w:val="333333"/>
          <w:lang w:val="pt-PT"/>
        </w:rPr>
        <w:t xml:space="preserve"> </w:t>
      </w:r>
      <w:r>
        <w:rPr>
          <w:rStyle w:val="Hps"/>
          <w:rFonts w:cs="Arial" w:ascii="Arial" w:hAnsi="Arial"/>
          <w:color w:val="333333"/>
          <w:lang w:val="pt-PT"/>
        </w:rPr>
        <w:t>deles,</w:t>
      </w:r>
      <w:r>
        <w:rPr>
          <w:rFonts w:cs="Arial" w:ascii="Arial" w:hAnsi="Arial"/>
          <w:color w:val="333333"/>
          <w:lang w:val="pt-PT"/>
        </w:rPr>
        <w:t xml:space="preserve"> </w:t>
      </w:r>
      <w:r>
        <w:rPr>
          <w:rStyle w:val="Hps"/>
          <w:rFonts w:cs="Arial" w:ascii="Arial" w:hAnsi="Arial"/>
          <w:color w:val="333333"/>
          <w:lang w:val="pt-PT"/>
        </w:rPr>
        <w:t>homens</w:t>
      </w:r>
      <w:r>
        <w:rPr>
          <w:rFonts w:cs="Arial" w:ascii="Arial" w:hAnsi="Arial"/>
          <w:color w:val="333333"/>
          <w:lang w:val="pt-PT"/>
        </w:rPr>
        <w:t xml:space="preserve"> </w:t>
      </w:r>
      <w:r>
        <w:rPr>
          <w:rStyle w:val="Hps"/>
          <w:rFonts w:cs="Arial" w:ascii="Arial" w:hAnsi="Arial"/>
          <w:color w:val="333333"/>
          <w:lang w:val="pt-PT"/>
        </w:rPr>
        <w:t>ímpios,</w:t>
      </w:r>
      <w:r>
        <w:rPr>
          <w:rFonts w:cs="Arial" w:ascii="Arial" w:hAnsi="Arial"/>
          <w:color w:val="333333"/>
          <w:lang w:val="pt-PT"/>
        </w:rPr>
        <w:t xml:space="preserve"> </w:t>
      </w:r>
      <w:r>
        <w:rPr>
          <w:rStyle w:val="Hps"/>
          <w:rFonts w:cs="Arial" w:ascii="Arial" w:hAnsi="Arial"/>
          <w:color w:val="333333"/>
          <w:lang w:val="pt-PT"/>
        </w:rPr>
        <w:t>destruidores,  e</w:t>
      </w:r>
      <w:r>
        <w:rPr>
          <w:rFonts w:cs="Arial" w:ascii="Arial" w:hAnsi="Arial"/>
          <w:color w:val="333333"/>
          <w:lang w:val="pt-PT"/>
        </w:rPr>
        <w:t xml:space="preserve"> </w:t>
      </w:r>
      <w:r>
        <w:rPr>
          <w:rStyle w:val="Hps"/>
          <w:rFonts w:cs="Arial" w:ascii="Arial" w:hAnsi="Arial"/>
          <w:color w:val="333333"/>
          <w:lang w:val="pt-PT"/>
        </w:rPr>
        <w:t>pronuncia-se</w:t>
      </w:r>
      <w:r>
        <w:rPr>
          <w:rFonts w:cs="Arial" w:ascii="Arial" w:hAnsi="Arial"/>
          <w:color w:val="333333"/>
          <w:lang w:val="pt-PT"/>
        </w:rPr>
        <w:t xml:space="preserve">, dizendo que eles </w:t>
      </w:r>
      <w:r>
        <w:rPr>
          <w:rStyle w:val="Hps"/>
          <w:rFonts w:cs="Arial" w:ascii="Arial" w:hAnsi="Arial"/>
          <w:color w:val="333333"/>
          <w:lang w:val="pt-PT"/>
        </w:rPr>
        <w:t>são justos.</w:t>
      </w:r>
      <w:r>
        <w:rPr>
          <w:rFonts w:cs="Arial" w:ascii="Arial" w:hAnsi="Arial"/>
          <w:color w:val="333333"/>
          <w:lang w:val="pt-PT"/>
        </w:rPr>
        <w:t xml:space="preserve"> </w:t>
      </w:r>
      <w:r>
        <w:rPr>
          <w:rStyle w:val="Hps"/>
          <w:rFonts w:cs="Arial" w:ascii="Arial" w:hAnsi="Arial"/>
          <w:color w:val="333333"/>
          <w:lang w:val="pt-PT"/>
        </w:rPr>
        <w:t>E</w:t>
      </w:r>
      <w:r>
        <w:rPr>
          <w:rFonts w:cs="Arial" w:ascii="Arial" w:hAnsi="Arial"/>
          <w:color w:val="333333"/>
          <w:lang w:val="pt-PT"/>
        </w:rPr>
        <w:t xml:space="preserve"> </w:t>
      </w:r>
      <w:r>
        <w:rPr>
          <w:rStyle w:val="Hps"/>
          <w:rFonts w:cs="Arial" w:ascii="Arial" w:hAnsi="Arial"/>
          <w:color w:val="333333"/>
          <w:lang w:val="pt-PT"/>
        </w:rPr>
        <w:t>estas devem</w:t>
      </w:r>
      <w:r>
        <w:rPr>
          <w:rFonts w:cs="Arial" w:ascii="Arial" w:hAnsi="Arial"/>
          <w:color w:val="333333"/>
          <w:lang w:val="pt-PT"/>
        </w:rPr>
        <w:t xml:space="preserve"> </w:t>
      </w:r>
      <w:r>
        <w:rPr>
          <w:rStyle w:val="Hps"/>
          <w:rFonts w:cs="Arial" w:ascii="Arial" w:hAnsi="Arial"/>
          <w:color w:val="333333"/>
          <w:lang w:val="pt-PT"/>
        </w:rPr>
        <w:t>agitar</w:t>
      </w:r>
      <w:r>
        <w:rPr>
          <w:rFonts w:cs="Arial" w:ascii="Arial" w:hAnsi="Arial"/>
          <w:color w:val="333333"/>
          <w:lang w:val="pt-PT"/>
        </w:rPr>
        <w:t xml:space="preserve"> </w:t>
      </w:r>
      <w:r>
        <w:rPr>
          <w:rStyle w:val="Hps"/>
          <w:rFonts w:cs="Arial" w:ascii="Arial" w:hAnsi="Arial"/>
          <w:color w:val="333333"/>
          <w:lang w:val="pt-PT"/>
        </w:rPr>
        <w:t>o veneno</w:t>
      </w:r>
      <w:r>
        <w:rPr>
          <w:rFonts w:cs="Arial" w:ascii="Arial" w:hAnsi="Arial"/>
          <w:color w:val="333333"/>
          <w:lang w:val="pt-PT"/>
        </w:rPr>
        <w:t xml:space="preserve"> </w:t>
      </w:r>
      <w:r>
        <w:rPr>
          <w:rStyle w:val="Hps"/>
          <w:rFonts w:cs="Arial" w:ascii="Arial" w:hAnsi="Arial"/>
          <w:color w:val="333333"/>
          <w:lang w:val="pt-PT"/>
        </w:rPr>
        <w:t>de suas mentes</w:t>
      </w:r>
      <w:r>
        <w:rPr>
          <w:rFonts w:cs="Arial" w:ascii="Arial" w:hAnsi="Arial"/>
          <w:color w:val="333333"/>
          <w:lang w:val="pt-PT"/>
        </w:rPr>
        <w:t xml:space="preserve">, sendo </w:t>
      </w:r>
      <w:r>
        <w:rPr>
          <w:rStyle w:val="Hps"/>
          <w:rFonts w:cs="Arial" w:ascii="Arial" w:hAnsi="Arial"/>
          <w:color w:val="333333"/>
          <w:lang w:val="pt-PT"/>
        </w:rPr>
        <w:t>os homens</w:t>
      </w:r>
      <w:r>
        <w:rPr>
          <w:rFonts w:cs="Arial" w:ascii="Arial" w:hAnsi="Arial"/>
          <w:color w:val="333333"/>
          <w:lang w:val="pt-PT"/>
        </w:rPr>
        <w:t xml:space="preserve"> </w:t>
      </w:r>
      <w:r>
        <w:rPr>
          <w:rStyle w:val="Hps"/>
          <w:rFonts w:cs="Arial" w:ascii="Arial" w:hAnsi="Arial"/>
          <w:color w:val="333333"/>
          <w:lang w:val="pt-PT"/>
        </w:rPr>
        <w:t>traiçoeiros</w:t>
      </w:r>
      <w:r>
        <w:rPr>
          <w:rStyle w:val="Atn"/>
          <w:rFonts w:cs="Arial" w:ascii="Arial" w:hAnsi="Arial"/>
          <w:color w:val="333333"/>
          <w:lang w:val="pt-PT"/>
        </w:rPr>
        <w:t>, auto comiserantes</w:t>
      </w:r>
      <w:r>
        <w:rPr>
          <w:rFonts w:cs="Arial" w:ascii="Arial" w:hAnsi="Arial"/>
          <w:color w:val="333333"/>
          <w:lang w:val="pt-PT"/>
        </w:rPr>
        <w:t xml:space="preserve">, </w:t>
      </w:r>
      <w:r>
        <w:rPr>
          <w:rStyle w:val="Hps"/>
          <w:rFonts w:cs="Arial" w:ascii="Arial" w:hAnsi="Arial"/>
          <w:color w:val="333333"/>
          <w:lang w:val="pt-PT"/>
        </w:rPr>
        <w:t>dissimulados</w:t>
      </w:r>
      <w:r>
        <w:rPr>
          <w:rFonts w:cs="Arial" w:ascii="Arial" w:hAnsi="Arial"/>
          <w:color w:val="333333"/>
          <w:lang w:val="pt-PT"/>
        </w:rPr>
        <w:t xml:space="preserve"> </w:t>
      </w:r>
      <w:r>
        <w:rPr>
          <w:rStyle w:val="Hps"/>
          <w:rFonts w:cs="Arial" w:ascii="Arial" w:hAnsi="Arial"/>
          <w:color w:val="333333"/>
          <w:lang w:val="pt-PT"/>
        </w:rPr>
        <w:t>em todos os seus</w:t>
      </w:r>
      <w:r>
        <w:rPr>
          <w:rFonts w:cs="Arial" w:ascii="Arial" w:hAnsi="Arial"/>
          <w:color w:val="333333"/>
          <w:lang w:val="pt-PT"/>
        </w:rPr>
        <w:t xml:space="preserve"> </w:t>
      </w:r>
      <w:r>
        <w:rPr>
          <w:rStyle w:val="Hps"/>
          <w:rFonts w:cs="Arial" w:ascii="Arial" w:hAnsi="Arial"/>
          <w:color w:val="333333"/>
          <w:lang w:val="pt-PT"/>
        </w:rPr>
        <w:t>próprios assuntos</w:t>
      </w:r>
      <w:r>
        <w:rPr>
          <w:rFonts w:cs="Arial" w:ascii="Arial" w:hAnsi="Arial"/>
          <w:color w:val="333333"/>
          <w:lang w:val="pt-PT"/>
        </w:rPr>
        <w:t xml:space="preserve"> </w:t>
      </w:r>
      <w:r>
        <w:rPr>
          <w:rStyle w:val="Hps"/>
          <w:rFonts w:cs="Arial" w:ascii="Arial" w:hAnsi="Arial"/>
          <w:color w:val="333333"/>
          <w:lang w:val="pt-PT"/>
        </w:rPr>
        <w:t>e amantes</w:t>
      </w:r>
      <w:r>
        <w:rPr>
          <w:rFonts w:cs="Arial" w:ascii="Arial" w:hAnsi="Arial"/>
          <w:color w:val="333333"/>
          <w:lang w:val="pt-PT"/>
        </w:rPr>
        <w:t xml:space="preserve"> </w:t>
      </w:r>
      <w:r>
        <w:rPr>
          <w:rStyle w:val="Hps"/>
          <w:rFonts w:cs="Arial" w:ascii="Arial" w:hAnsi="Arial"/>
          <w:color w:val="333333"/>
          <w:lang w:val="pt-PT"/>
        </w:rPr>
        <w:t>de banquetes</w:t>
      </w:r>
      <w:r>
        <w:rPr>
          <w:rFonts w:cs="Arial" w:ascii="Arial" w:hAnsi="Arial"/>
          <w:color w:val="333333"/>
          <w:lang w:val="pt-PT"/>
        </w:rPr>
        <w:t xml:space="preserve"> </w:t>
      </w:r>
      <w:r>
        <w:rPr>
          <w:rStyle w:val="Hps"/>
          <w:rFonts w:cs="Arial" w:ascii="Arial" w:hAnsi="Arial"/>
          <w:color w:val="333333"/>
          <w:lang w:val="pt-PT"/>
        </w:rPr>
        <w:t>a cada hora</w:t>
      </w:r>
      <w:r>
        <w:rPr>
          <w:rFonts w:cs="Arial" w:ascii="Arial" w:hAnsi="Arial"/>
          <w:color w:val="333333"/>
          <w:lang w:val="pt-PT"/>
        </w:rPr>
        <w:t xml:space="preserve"> </w:t>
      </w:r>
      <w:r>
        <w:rPr>
          <w:rStyle w:val="Hps"/>
          <w:rFonts w:cs="Arial" w:ascii="Arial" w:hAnsi="Arial"/>
          <w:color w:val="333333"/>
          <w:lang w:val="pt-PT"/>
        </w:rPr>
        <w:t>do dia.</w:t>
      </w:r>
      <w:r>
        <w:rPr>
          <w:rFonts w:cs="Arial" w:ascii="Arial" w:hAnsi="Arial"/>
          <w:color w:val="333333"/>
          <w:lang w:val="pt-PT"/>
        </w:rPr>
        <w:t xml:space="preserve"> </w:t>
      </w:r>
      <w:r>
        <w:rPr>
          <w:rStyle w:val="Hps"/>
          <w:rFonts w:cs="Arial" w:ascii="Arial" w:hAnsi="Arial"/>
          <w:color w:val="333333"/>
          <w:lang w:val="pt-PT"/>
        </w:rPr>
        <w:t>glutões,</w:t>
      </w:r>
      <w:r>
        <w:rPr>
          <w:rFonts w:cs="Arial" w:ascii="Arial" w:hAnsi="Arial"/>
          <w:color w:val="333333"/>
          <w:lang w:val="pt-PT"/>
        </w:rPr>
        <w:t xml:space="preserve"> </w:t>
      </w:r>
      <w:r>
        <w:rPr>
          <w:rStyle w:val="Hps"/>
          <w:rFonts w:cs="Arial" w:ascii="Arial" w:hAnsi="Arial"/>
          <w:color w:val="333333"/>
          <w:lang w:val="pt-PT"/>
        </w:rPr>
        <w:t>....</w:t>
      </w:r>
      <w:r>
        <w:rPr>
          <w:rFonts w:cs="Arial" w:ascii="Arial" w:hAnsi="Arial"/>
          <w:color w:val="333333"/>
          <w:lang w:val="pt-PT"/>
        </w:rPr>
        <w:t xml:space="preserve"> </w:t>
      </w:r>
      <w:r>
        <w:rPr>
          <w:rStyle w:val="Hps"/>
          <w:rFonts w:cs="Arial" w:ascii="Arial" w:hAnsi="Arial"/>
          <w:color w:val="333333"/>
          <w:lang w:val="pt-PT"/>
        </w:rPr>
        <w:t>Devoradores</w:t>
      </w:r>
      <w:r>
        <w:rPr>
          <w:rFonts w:cs="Arial" w:ascii="Arial" w:hAnsi="Arial"/>
          <w:color w:val="333333"/>
          <w:lang w:val="pt-PT"/>
        </w:rPr>
        <w:t xml:space="preserve"> </w:t>
      </w:r>
      <w:r>
        <w:rPr>
          <w:rStyle w:val="Hps"/>
          <w:rFonts w:cs="Arial" w:ascii="Arial" w:hAnsi="Arial"/>
          <w:color w:val="333333"/>
          <w:lang w:val="pt-PT"/>
        </w:rPr>
        <w:t>dos bens</w:t>
      </w:r>
      <w:r>
        <w:rPr>
          <w:rFonts w:cs="Arial" w:ascii="Arial" w:hAnsi="Arial"/>
          <w:color w:val="333333"/>
          <w:lang w:val="pt-PT"/>
        </w:rPr>
        <w:t xml:space="preserve"> </w:t>
      </w:r>
      <w:r>
        <w:rPr>
          <w:rStyle w:val="Hps"/>
          <w:rFonts w:cs="Arial" w:ascii="Arial" w:hAnsi="Arial"/>
          <w:color w:val="333333"/>
          <w:lang w:val="pt-PT"/>
        </w:rPr>
        <w:t>do</w:t>
      </w:r>
      <w:r>
        <w:rPr>
          <w:rFonts w:cs="Arial" w:ascii="Arial" w:hAnsi="Arial"/>
          <w:color w:val="333333"/>
          <w:lang w:val="pt-PT"/>
        </w:rPr>
        <w:t xml:space="preserve"> </w:t>
      </w:r>
      <w:r>
        <w:rPr>
          <w:rStyle w:val="Hps"/>
          <w:rFonts w:cs="Arial" w:ascii="Arial" w:hAnsi="Arial"/>
          <w:color w:val="333333"/>
          <w:lang w:val="pt-PT"/>
        </w:rPr>
        <w:t>(</w:t>
      </w:r>
      <w:r>
        <w:rPr>
          <w:rFonts w:cs="Arial" w:ascii="Arial" w:hAnsi="Arial"/>
          <w:color w:val="333333"/>
          <w:lang w:val="pt-PT"/>
        </w:rPr>
        <w:t xml:space="preserve">pobre) </w:t>
      </w:r>
      <w:r>
        <w:rPr>
          <w:rStyle w:val="Hps"/>
          <w:rFonts w:cs="Arial" w:ascii="Arial" w:hAnsi="Arial"/>
          <w:color w:val="333333"/>
          <w:lang w:val="pt-PT"/>
        </w:rPr>
        <w:t>dizendo que</w:t>
      </w:r>
      <w:r>
        <w:rPr>
          <w:rFonts w:cs="Arial" w:ascii="Arial" w:hAnsi="Arial"/>
          <w:color w:val="333333"/>
          <w:lang w:val="pt-PT"/>
        </w:rPr>
        <w:t xml:space="preserve"> estão </w:t>
      </w:r>
      <w:r>
        <w:rPr>
          <w:rStyle w:val="Hps"/>
          <w:rFonts w:cs="Arial" w:ascii="Arial" w:hAnsi="Arial"/>
          <w:color w:val="333333"/>
          <w:lang w:val="pt-PT"/>
        </w:rPr>
        <w:t>fazendo   justiça</w:t>
      </w:r>
      <w:r>
        <w:rPr>
          <w:rFonts w:cs="Arial" w:ascii="Arial" w:hAnsi="Arial"/>
          <w:color w:val="333333"/>
          <w:lang w:val="pt-PT"/>
        </w:rPr>
        <w:t xml:space="preserve">, mas na realidade </w:t>
      </w:r>
      <w:r>
        <w:rPr>
          <w:rStyle w:val="Hps"/>
          <w:rFonts w:cs="Arial" w:ascii="Arial" w:hAnsi="Arial"/>
          <w:color w:val="333333"/>
          <w:lang w:val="pt-PT"/>
        </w:rPr>
        <w:t>para destruí-los</w:t>
      </w:r>
      <w:r>
        <w:rPr>
          <w:rFonts w:cs="Arial" w:ascii="Arial" w:hAnsi="Arial"/>
          <w:color w:val="333333"/>
          <w:lang w:val="pt-PT"/>
        </w:rPr>
        <w:t xml:space="preserve">, queixosos, </w:t>
      </w:r>
      <w:r>
        <w:rPr>
          <w:rStyle w:val="Hps"/>
          <w:rFonts w:cs="Arial" w:ascii="Arial" w:hAnsi="Arial"/>
          <w:color w:val="333333"/>
          <w:lang w:val="pt-PT"/>
        </w:rPr>
        <w:t>enganadores</w:t>
      </w:r>
      <w:r>
        <w:rPr>
          <w:rFonts w:cs="Arial" w:ascii="Arial" w:hAnsi="Arial"/>
          <w:color w:val="333333"/>
          <w:lang w:val="pt-PT"/>
        </w:rPr>
        <w:t xml:space="preserve">, escondendo-se </w:t>
      </w:r>
      <w:r>
        <w:rPr>
          <w:rStyle w:val="Hps"/>
          <w:rFonts w:cs="Arial" w:ascii="Arial" w:hAnsi="Arial"/>
          <w:color w:val="333333"/>
          <w:lang w:val="pt-PT"/>
        </w:rPr>
        <w:t>para não serem</w:t>
      </w:r>
      <w:r>
        <w:rPr>
          <w:rFonts w:cs="Arial" w:ascii="Arial" w:hAnsi="Arial"/>
          <w:color w:val="333333"/>
          <w:lang w:val="pt-PT"/>
        </w:rPr>
        <w:t xml:space="preserve"> </w:t>
      </w:r>
      <w:r>
        <w:rPr>
          <w:rStyle w:val="Hps"/>
          <w:rFonts w:cs="Arial" w:ascii="Arial" w:hAnsi="Arial"/>
          <w:color w:val="333333"/>
          <w:lang w:val="pt-PT"/>
        </w:rPr>
        <w:t>reconhecidos,</w:t>
      </w:r>
      <w:r>
        <w:rPr>
          <w:rFonts w:cs="Arial" w:ascii="Arial" w:hAnsi="Arial"/>
          <w:color w:val="333333"/>
          <w:lang w:val="pt-PT"/>
        </w:rPr>
        <w:t xml:space="preserve"> </w:t>
      </w:r>
      <w:r>
        <w:rPr>
          <w:rStyle w:val="Hps"/>
          <w:rFonts w:cs="Arial" w:ascii="Arial" w:hAnsi="Arial"/>
          <w:color w:val="333333"/>
          <w:lang w:val="pt-PT"/>
        </w:rPr>
        <w:t>irreverente</w:t>
      </w:r>
      <w:r>
        <w:rPr>
          <w:rFonts w:cs="Arial" w:ascii="Arial" w:hAnsi="Arial"/>
          <w:color w:val="333333"/>
          <w:lang w:val="pt-PT"/>
        </w:rPr>
        <w:t xml:space="preserve">, cheio de </w:t>
      </w:r>
      <w:r>
        <w:rPr>
          <w:rStyle w:val="Hps"/>
          <w:rFonts w:cs="Arial" w:ascii="Arial" w:hAnsi="Arial"/>
          <w:color w:val="333333"/>
          <w:lang w:val="pt-PT"/>
        </w:rPr>
        <w:t>ilegalidades</w:t>
      </w:r>
      <w:r>
        <w:rPr>
          <w:rFonts w:cs="Arial" w:ascii="Arial" w:hAnsi="Arial"/>
          <w:color w:val="333333"/>
          <w:lang w:val="pt-PT"/>
        </w:rPr>
        <w:t xml:space="preserve"> </w:t>
      </w:r>
      <w:r>
        <w:rPr>
          <w:rStyle w:val="Hps"/>
          <w:rFonts w:cs="Arial" w:ascii="Arial" w:hAnsi="Arial"/>
          <w:color w:val="333333"/>
          <w:lang w:val="pt-PT"/>
        </w:rPr>
        <w:t>e de iniqüidade. Do nascer ao</w:t>
      </w:r>
      <w:r>
        <w:rPr>
          <w:rFonts w:cs="Arial" w:ascii="Arial" w:hAnsi="Arial"/>
          <w:color w:val="333333"/>
          <w:lang w:val="pt-PT"/>
        </w:rPr>
        <w:t xml:space="preserve"> </w:t>
      </w:r>
      <w:r>
        <w:rPr>
          <w:rStyle w:val="Hps"/>
          <w:rFonts w:cs="Arial" w:ascii="Arial" w:hAnsi="Arial"/>
          <w:color w:val="333333"/>
          <w:lang w:val="pt-PT"/>
        </w:rPr>
        <w:t>pôr do sol:</w:t>
      </w:r>
      <w:r>
        <w:rPr>
          <w:rFonts w:cs="Arial" w:ascii="Arial" w:hAnsi="Arial"/>
          <w:color w:val="333333"/>
          <w:lang w:val="pt-PT"/>
        </w:rPr>
        <w:t xml:space="preserve"> </w:t>
      </w:r>
      <w:r>
        <w:rPr>
          <w:rStyle w:val="Hps"/>
          <w:rFonts w:cs="Arial" w:ascii="Arial" w:hAnsi="Arial"/>
          <w:color w:val="333333"/>
          <w:lang w:val="pt-PT"/>
        </w:rPr>
        <w:t>dizem: '</w:t>
      </w:r>
      <w:r>
        <w:rPr>
          <w:rFonts w:cs="Arial" w:ascii="Arial" w:hAnsi="Arial"/>
          <w:color w:val="333333"/>
          <w:lang w:val="pt-PT"/>
        </w:rPr>
        <w:t xml:space="preserve">. </w:t>
      </w:r>
      <w:r>
        <w:rPr>
          <w:rStyle w:val="Hps"/>
          <w:rFonts w:cs="Arial" w:ascii="Arial" w:hAnsi="Arial"/>
          <w:color w:val="333333"/>
          <w:lang w:val="pt-PT"/>
        </w:rPr>
        <w:t>teremos</w:t>
      </w:r>
      <w:r>
        <w:rPr>
          <w:rFonts w:cs="Arial" w:ascii="Arial" w:hAnsi="Arial"/>
          <w:color w:val="333333"/>
          <w:lang w:val="pt-PT"/>
        </w:rPr>
        <w:t xml:space="preserve"> </w:t>
      </w:r>
      <w:r>
        <w:rPr>
          <w:rStyle w:val="Hps"/>
          <w:rFonts w:cs="Arial" w:ascii="Arial" w:hAnsi="Arial"/>
          <w:color w:val="333333"/>
          <w:lang w:val="pt-PT"/>
        </w:rPr>
        <w:t>banquetes e</w:t>
      </w:r>
      <w:r>
        <w:rPr>
          <w:rFonts w:cs="Arial" w:ascii="Arial" w:hAnsi="Arial"/>
          <w:color w:val="333333"/>
          <w:lang w:val="pt-PT"/>
        </w:rPr>
        <w:t xml:space="preserve"> </w:t>
      </w:r>
      <w:r>
        <w:rPr>
          <w:rStyle w:val="Hps"/>
          <w:rFonts w:cs="Arial" w:ascii="Arial" w:hAnsi="Arial"/>
          <w:color w:val="333333"/>
          <w:lang w:val="pt-PT"/>
        </w:rPr>
        <w:t>de luxo,</w:t>
      </w:r>
      <w:r>
        <w:rPr>
          <w:rFonts w:cs="Arial" w:ascii="Arial" w:hAnsi="Arial"/>
          <w:color w:val="333333"/>
          <w:lang w:val="pt-PT"/>
        </w:rPr>
        <w:t xml:space="preserve"> </w:t>
      </w:r>
      <w:r>
        <w:rPr>
          <w:rStyle w:val="Hps"/>
          <w:rFonts w:cs="Arial" w:ascii="Arial" w:hAnsi="Arial"/>
          <w:color w:val="333333"/>
          <w:lang w:val="pt-PT"/>
        </w:rPr>
        <w:t>comendo e bebendo,</w:t>
      </w:r>
      <w:r>
        <w:rPr>
          <w:rFonts w:cs="Arial" w:ascii="Arial" w:hAnsi="Arial"/>
          <w:color w:val="333333"/>
          <w:lang w:val="pt-PT"/>
        </w:rPr>
        <w:t xml:space="preserve"> </w:t>
      </w:r>
      <w:r>
        <w:rPr>
          <w:rStyle w:val="Hps"/>
          <w:rFonts w:cs="Arial" w:ascii="Arial" w:hAnsi="Arial"/>
          <w:color w:val="333333"/>
          <w:lang w:val="pt-PT"/>
        </w:rPr>
        <w:t>e vamos</w:t>
      </w:r>
      <w:r>
        <w:rPr>
          <w:rFonts w:cs="Arial" w:ascii="Arial" w:hAnsi="Arial"/>
          <w:color w:val="333333"/>
          <w:lang w:val="pt-PT"/>
        </w:rPr>
        <w:t xml:space="preserve"> </w:t>
      </w:r>
      <w:r>
        <w:rPr>
          <w:rStyle w:val="Hps"/>
          <w:rFonts w:cs="Arial" w:ascii="Arial" w:hAnsi="Arial"/>
          <w:color w:val="333333"/>
          <w:lang w:val="pt-PT"/>
        </w:rPr>
        <w:t>estimar</w:t>
      </w:r>
      <w:r>
        <w:rPr>
          <w:rFonts w:cs="Arial" w:ascii="Arial" w:hAnsi="Arial"/>
          <w:color w:val="333333"/>
          <w:lang w:val="pt-PT"/>
        </w:rPr>
        <w:t xml:space="preserve"> </w:t>
      </w:r>
      <w:r>
        <w:rPr>
          <w:rStyle w:val="Hps"/>
          <w:rFonts w:cs="Arial" w:ascii="Arial" w:hAnsi="Arial"/>
          <w:color w:val="333333"/>
          <w:lang w:val="pt-PT"/>
        </w:rPr>
        <w:t>a nós mesmos como</w:t>
      </w:r>
      <w:r>
        <w:rPr>
          <w:rFonts w:cs="Arial" w:ascii="Arial" w:hAnsi="Arial"/>
          <w:color w:val="333333"/>
          <w:lang w:val="pt-PT"/>
        </w:rPr>
        <w:t xml:space="preserve"> </w:t>
      </w:r>
      <w:r>
        <w:rPr>
          <w:rStyle w:val="Hps"/>
          <w:rFonts w:cs="Arial" w:ascii="Arial" w:hAnsi="Arial"/>
          <w:color w:val="333333"/>
          <w:lang w:val="pt-PT"/>
        </w:rPr>
        <w:t>príncipes "E apesar de</w:t>
      </w:r>
      <w:r>
        <w:rPr>
          <w:rFonts w:cs="Arial" w:ascii="Arial" w:hAnsi="Arial"/>
          <w:color w:val="333333"/>
          <w:lang w:val="pt-PT"/>
        </w:rPr>
        <w:t xml:space="preserve"> </w:t>
      </w:r>
      <w:r>
        <w:rPr>
          <w:rStyle w:val="Hps"/>
          <w:rFonts w:cs="Arial" w:ascii="Arial" w:hAnsi="Arial"/>
          <w:color w:val="333333"/>
          <w:lang w:val="pt-PT"/>
        </w:rPr>
        <w:t>suas mãos e</w:t>
      </w:r>
      <w:r>
        <w:rPr>
          <w:rFonts w:cs="Arial" w:ascii="Arial" w:hAnsi="Arial"/>
          <w:color w:val="333333"/>
          <w:lang w:val="pt-PT"/>
        </w:rPr>
        <w:t xml:space="preserve"> </w:t>
      </w:r>
      <w:r>
        <w:rPr>
          <w:rStyle w:val="Hps"/>
          <w:rFonts w:cs="Arial" w:ascii="Arial" w:hAnsi="Arial"/>
          <w:color w:val="333333"/>
          <w:lang w:val="pt-PT"/>
        </w:rPr>
        <w:t>sua mente</w:t>
      </w:r>
      <w:r>
        <w:rPr>
          <w:rFonts w:cs="Arial" w:ascii="Arial" w:hAnsi="Arial"/>
          <w:color w:val="333333"/>
          <w:lang w:val="pt-PT"/>
        </w:rPr>
        <w:t xml:space="preserve"> </w:t>
      </w:r>
      <w:r>
        <w:rPr>
          <w:rStyle w:val="Hps"/>
          <w:rFonts w:cs="Arial" w:ascii="Arial" w:hAnsi="Arial"/>
          <w:color w:val="333333"/>
          <w:lang w:val="pt-PT"/>
        </w:rPr>
        <w:t>tocar</w:t>
      </w:r>
      <w:r>
        <w:rPr>
          <w:rFonts w:cs="Arial" w:ascii="Arial" w:hAnsi="Arial"/>
          <w:color w:val="333333"/>
          <w:lang w:val="pt-PT"/>
        </w:rPr>
        <w:t xml:space="preserve"> </w:t>
      </w:r>
      <w:r>
        <w:rPr>
          <w:rStyle w:val="Hps"/>
          <w:rFonts w:cs="Arial" w:ascii="Arial" w:hAnsi="Arial"/>
          <w:color w:val="333333"/>
          <w:lang w:val="pt-PT"/>
        </w:rPr>
        <w:t>coisas impuras</w:t>
      </w:r>
      <w:r>
        <w:rPr>
          <w:rFonts w:cs="Arial" w:ascii="Arial" w:hAnsi="Arial"/>
          <w:color w:val="333333"/>
          <w:lang w:val="pt-PT"/>
        </w:rPr>
        <w:t xml:space="preserve">, mas sua </w:t>
      </w:r>
      <w:r>
        <w:rPr>
          <w:rStyle w:val="Hps"/>
          <w:rFonts w:cs="Arial" w:ascii="Arial" w:hAnsi="Arial"/>
          <w:color w:val="333333"/>
          <w:lang w:val="pt-PT"/>
        </w:rPr>
        <w:t>boca falará</w:t>
      </w:r>
      <w:r>
        <w:rPr>
          <w:rFonts w:cs="Arial" w:ascii="Arial" w:hAnsi="Arial"/>
          <w:color w:val="333333"/>
          <w:lang w:val="pt-PT"/>
        </w:rPr>
        <w:t xml:space="preserve"> </w:t>
      </w:r>
      <w:r>
        <w:rPr>
          <w:rStyle w:val="Hps"/>
          <w:rFonts w:cs="Arial" w:ascii="Arial" w:hAnsi="Arial"/>
          <w:color w:val="333333"/>
          <w:lang w:val="pt-PT"/>
        </w:rPr>
        <w:t>grandes coisas,</w:t>
      </w:r>
      <w:r>
        <w:rPr>
          <w:rFonts w:cs="Arial" w:ascii="Arial" w:hAnsi="Arial"/>
          <w:color w:val="333333"/>
          <w:lang w:val="pt-PT"/>
        </w:rPr>
        <w:t xml:space="preserve"> </w:t>
      </w:r>
      <w:r>
        <w:rPr>
          <w:rStyle w:val="Hps"/>
          <w:rFonts w:cs="Arial" w:ascii="Arial" w:hAnsi="Arial"/>
          <w:color w:val="333333"/>
          <w:lang w:val="pt-PT"/>
        </w:rPr>
        <w:t>e ela dirá</w:t>
      </w:r>
      <w:r>
        <w:rPr>
          <w:rFonts w:cs="Arial" w:ascii="Arial" w:hAnsi="Arial"/>
          <w:color w:val="333333"/>
          <w:lang w:val="pt-PT"/>
        </w:rPr>
        <w:t xml:space="preserve"> </w:t>
      </w:r>
      <w:r>
        <w:rPr>
          <w:rStyle w:val="Hps"/>
          <w:rFonts w:cs="Arial" w:ascii="Arial" w:hAnsi="Arial"/>
          <w:color w:val="333333"/>
          <w:lang w:val="pt-PT"/>
        </w:rPr>
        <w:t>ainda:</w:t>
      </w:r>
      <w:r>
        <w:rPr>
          <w:rFonts w:cs="Arial" w:ascii="Arial" w:hAnsi="Arial"/>
          <w:color w:val="333333"/>
          <w:lang w:val="pt-PT"/>
        </w:rPr>
        <w:t xml:space="preserve"> </w:t>
      </w:r>
      <w:r>
        <w:rPr>
          <w:rStyle w:val="Hps"/>
          <w:rFonts w:cs="Arial" w:ascii="Arial" w:hAnsi="Arial"/>
          <w:color w:val="333333"/>
          <w:lang w:val="pt-PT"/>
        </w:rPr>
        <w:t>"</w:t>
      </w:r>
      <w:r>
        <w:rPr>
          <w:rFonts w:cs="Arial" w:ascii="Arial" w:hAnsi="Arial"/>
          <w:color w:val="333333"/>
          <w:lang w:val="pt-PT"/>
        </w:rPr>
        <w:t xml:space="preserve">Não me toque </w:t>
      </w:r>
      <w:r>
        <w:rPr>
          <w:rStyle w:val="Hps"/>
          <w:rFonts w:cs="Arial" w:ascii="Arial" w:hAnsi="Arial"/>
          <w:color w:val="333333"/>
          <w:lang w:val="pt-PT"/>
        </w:rPr>
        <w:t>para que você não</w:t>
      </w:r>
      <w:r>
        <w:rPr>
          <w:rFonts w:cs="Arial" w:ascii="Arial" w:hAnsi="Arial"/>
          <w:color w:val="333333"/>
          <w:lang w:val="pt-PT"/>
        </w:rPr>
        <w:t xml:space="preserve"> </w:t>
      </w:r>
      <w:r>
        <w:rPr>
          <w:rStyle w:val="Hps"/>
          <w:rFonts w:cs="Arial" w:ascii="Arial" w:hAnsi="Arial"/>
          <w:color w:val="333333"/>
          <w:lang w:val="pt-PT"/>
        </w:rPr>
        <w:t>me contamine</w:t>
      </w:r>
      <w:r>
        <w:rPr>
          <w:rFonts w:cs="Arial" w:ascii="Arial" w:hAnsi="Arial"/>
          <w:color w:val="333333"/>
          <w:lang w:val="pt-PT"/>
        </w:rPr>
        <w:t xml:space="preserve"> </w:t>
      </w:r>
      <w:r>
        <w:rPr>
          <w:rStyle w:val="Hps"/>
          <w:rFonts w:cs="Arial" w:ascii="Arial" w:hAnsi="Arial"/>
          <w:color w:val="333333"/>
          <w:lang w:val="pt-PT"/>
        </w:rPr>
        <w:t>no lugar</w:t>
      </w:r>
      <w:r>
        <w:rPr>
          <w:rFonts w:cs="Arial" w:ascii="Arial" w:hAnsi="Arial"/>
          <w:color w:val="333333"/>
          <w:lang w:val="pt-PT"/>
        </w:rPr>
        <w:t xml:space="preserve"> </w:t>
      </w:r>
      <w:r>
        <w:rPr>
          <w:rStyle w:val="Hps"/>
          <w:rFonts w:cs="Arial" w:ascii="Arial" w:hAnsi="Arial"/>
          <w:color w:val="333333"/>
          <w:lang w:val="pt-PT"/>
        </w:rPr>
        <w:t>(</w:t>
      </w:r>
      <w:r>
        <w:rPr>
          <w:rFonts w:cs="Arial" w:ascii="Arial" w:hAnsi="Arial"/>
          <w:color w:val="333333"/>
          <w:lang w:val="pt-PT"/>
        </w:rPr>
        <w:t>onde eu estou").....</w:t>
      </w:r>
    </w:p>
    <w:p>
      <w:pPr>
        <w:pStyle w:val="NormalWeb"/>
        <w:rPr>
          <w:rFonts w:ascii="Arial" w:hAnsi="Arial" w:cs="Arial"/>
          <w:color w:val="333333"/>
          <w:lang w:val="pt-PT"/>
        </w:rPr>
      </w:pPr>
      <w:r>
        <w:rPr>
          <w:rFonts w:cs="Arial" w:ascii="Arial" w:hAnsi="Arial"/>
          <w:color w:val="333333"/>
          <w:lang w:val="pt-PT"/>
        </w:rPr>
        <w:t>Existe uma grande polêmica diante da citação de Origines que Judas 9, 18 e provavelmente 19 teria tido como texto fonte este livro. A discussão tem como fundamentação que o catolocismo romano justificaria que os livros apócrifos são em verdade inspirados ou canônicos já que Judas como autor biblico canonico reconhece este texto como verdadeiro. Esta argumentação é dificil de se apoiar, primeiramente não temos o texto completo, não se dispoem do fragmento que faria referencia ao texto de Judas e em segundo lugar não podemos esquecer a tradição oral e outras fontes. Diversas fontes são citadas no AT e NT que desapareceram no tempo, não sendo preservadas. Muito provavelmente Judas teve acesso a mesma fonte de tradição oral que teria sido utilizado pelo autor deste livro apócrifo. O livro de Deuterônomio nos informa que o local de sepultamento de Moises era desconhecido na época de da redação do livro (Dt: 34:5-6).</w:t>
      </w:r>
    </w:p>
    <w:p>
      <w:pPr>
        <w:pStyle w:val="NormalWeb"/>
        <w:rPr>
          <w:rFonts w:cs="" w:asciiTheme="minorBidi" w:cstheme="minorBidi" w:hAnsiTheme="minorBidi"/>
          <w:b/>
          <w:b/>
          <w:bCs/>
          <w:color w:val="000000"/>
          <w:lang w:val="pt-BR" w:bidi="he-IL"/>
        </w:rPr>
      </w:pPr>
      <w:r>
        <w:rPr>
          <w:rFonts w:cs="" w:asciiTheme="minorBidi" w:cstheme="minorBidi" w:hAnsiTheme="minorBidi"/>
          <w:b/>
          <w:bCs/>
          <w:color w:val="000000"/>
          <w:lang w:val="pt-BR" w:bidi="he-IL"/>
        </w:rPr>
      </w:r>
    </w:p>
    <w:p>
      <w:pPr>
        <w:pStyle w:val="NormalWeb"/>
        <w:rPr>
          <w:rFonts w:cs="" w:asciiTheme="minorBidi" w:cstheme="minorBidi" w:hAnsiTheme="minorBidi"/>
          <w:color w:val="000000"/>
          <w:lang w:val="pt-BR" w:bidi="he-IL"/>
        </w:rPr>
      </w:pPr>
      <w:r>
        <w:rPr>
          <w:rFonts w:cs="" w:asciiTheme="minorBidi" w:cstheme="minorBidi" w:hAnsiTheme="minorBidi"/>
          <w:b/>
          <w:bCs/>
          <w:color w:val="000000"/>
          <w:lang w:val="pt-BR" w:bidi="he-IL"/>
        </w:rPr>
        <w:t>Apocalipse de Baruque</w:t>
      </w:r>
      <w:r>
        <w:rPr>
          <w:rFonts w:cs="" w:asciiTheme="minorBidi" w:cstheme="minorBidi" w:hAnsiTheme="minorBidi"/>
          <w:color w:val="000000"/>
          <w:lang w:val="pt-BR" w:bidi="he-IL"/>
        </w:rPr>
        <w:t xml:space="preserve">. </w:t>
      </w:r>
    </w:p>
    <w:p>
      <w:pPr>
        <w:pStyle w:val="NormalWeb"/>
        <w:rPr>
          <w:rFonts w:cs="" w:asciiTheme="minorBidi" w:cstheme="minorBidi" w:hAnsiTheme="minorBidi"/>
          <w:color w:val="000000"/>
          <w:lang w:val="pt-BR" w:bidi="he-IL"/>
        </w:rPr>
      </w:pPr>
      <w:r>
        <w:rPr>
          <w:rFonts w:cs="" w:asciiTheme="minorBidi" w:cstheme="minorBidi" w:hAnsiTheme="minorBidi"/>
          <w:color w:val="000000"/>
          <w:lang w:val="pt-BR" w:bidi="he-IL"/>
        </w:rPr>
        <w:t xml:space="preserve">Este livro existe apenas na tradução siríaca, tem um cunho fortemente apocalíptico, apresentado como revelação em forma de perguntas e respostas. Esta formatação é essencialmente rabínica. A linguagem figurada empregada neste livro em situando-se imediatamente após a destruição do segundo templo no ano de 70 DC é instrutiva para o leitor de Apocalipse de João entendendo a terminologia empregada. A percepção teológica do apocalipse de Baruque segue uma linha muitas vezes oposta ao cristianismo. </w:t>
      </w:r>
    </w:p>
    <w:p>
      <w:pPr>
        <w:pStyle w:val="NormalWeb"/>
        <w:rPr>
          <w:rFonts w:cs="" w:asciiTheme="minorBidi" w:cstheme="minorBidi" w:hAnsiTheme="minorBidi"/>
          <w:color w:val="000000"/>
          <w:lang w:val="pt-BR" w:bidi="he-IL"/>
        </w:rPr>
      </w:pPr>
      <w:r>
        <w:rPr>
          <w:rFonts w:cs="" w:asciiTheme="minorBidi" w:cstheme="minorBidi" w:hAnsiTheme="minorBidi"/>
          <w:color w:val="000000"/>
          <w:lang w:val="pt-BR" w:bidi="he-IL"/>
        </w:rPr>
      </w:r>
    </w:p>
    <w:p>
      <w:pPr>
        <w:pStyle w:val="NormalWeb"/>
        <w:rPr>
          <w:rFonts w:cs="" w:asciiTheme="minorBidi" w:cstheme="minorBidi" w:hAnsiTheme="minorBidi"/>
          <w:color w:val="000000"/>
          <w:lang w:val="pt-BR" w:bidi="he-IL"/>
        </w:rPr>
      </w:pPr>
      <w:r>
        <w:rPr>
          <w:rFonts w:cs="" w:asciiTheme="minorBidi" w:cstheme="minorBidi" w:hAnsiTheme="minorBidi"/>
          <w:color w:val="000000"/>
          <w:lang w:val="pt-BR" w:bidi="he-IL"/>
        </w:rPr>
        <w:t xml:space="preserve">O termo deutero canônico se aplica apenas aos AT. </w:t>
      </w:r>
    </w:p>
    <w:p>
      <w:pPr>
        <w:pStyle w:val="NormalWeb"/>
        <w:rPr>
          <w:rFonts w:cs="" w:asciiTheme="minorBidi" w:cstheme="minorBidi" w:hAnsiTheme="minorBidi"/>
          <w:lang w:val="pt-BR" w:bidi="he-IL"/>
        </w:rPr>
      </w:pPr>
      <w:r>
        <w:rPr>
          <w:rFonts w:cs="" w:asciiTheme="minorBidi" w:cstheme="minorBidi" w:hAnsiTheme="minorBidi"/>
          <w:color w:val="000000"/>
          <w:lang w:val="pt-BR" w:bidi="he-IL"/>
        </w:rPr>
        <w:t>A partir do século VI os romanistas começaram a empregar esta designação para todos os livros do VT que não faziam parte do Canon judaico mas seriam incorporados ao Canon católico romano. Desta maneira os livros de</w:t>
      </w:r>
      <w:r>
        <w:rPr>
          <w:rFonts w:cs="Arial" w:ascii="Arial" w:hAnsi="Arial"/>
          <w:lang w:val="pt-BR"/>
        </w:rPr>
        <w:t xml:space="preserve"> </w:t>
      </w:r>
      <w:r>
        <w:rPr>
          <w:rFonts w:cs="" w:asciiTheme="minorBidi" w:cstheme="minorBidi" w:hAnsiTheme="minorBidi"/>
          <w:lang w:val="pt-BR" w:bidi="he-IL"/>
        </w:rPr>
        <w:t xml:space="preserve">Tobias, Judite, Acréscimos de  Ester, Sabedorias de  Solomão, Eclesiástico, Baruque, Epistola de Jeremias, Canção das Três Crianças, História de  Susana, Bel e o  Dragão, 1 Macabeus e 2 Macabeus são classificado como deutero canônicos. </w:t>
      </w:r>
    </w:p>
    <w:p>
      <w:pPr>
        <w:pStyle w:val="NormalWeb"/>
        <w:rPr>
          <w:rFonts w:cs="" w:asciiTheme="minorBidi" w:cstheme="minorBidi" w:hAnsiTheme="minorBidi"/>
          <w:b/>
          <w:b/>
          <w:bCs/>
          <w:lang w:val="pt-BR"/>
        </w:rPr>
      </w:pPr>
      <w:r>
        <w:rPr>
          <w:rFonts w:cs="" w:asciiTheme="minorBidi" w:cstheme="minorBidi" w:hAnsiTheme="minorBidi"/>
          <w:lang w:val="pt-BR" w:bidi="he-IL"/>
        </w:rPr>
        <w:t xml:space="preserve">Deutero canônico significa nova Canon ou segundo Canon. </w:t>
      </w:r>
    </w:p>
    <w:p>
      <w:pPr>
        <w:pStyle w:val="Normal"/>
        <w:spacing w:lineRule="auto" w:line="240" w:beforeAutospacing="1" w:afterAutospacing="1"/>
        <w:rPr>
          <w:rFonts w:eastAsia="Times New Roman" w:asciiTheme="minorBidi" w:hAnsiTheme="minorBidi"/>
          <w:color w:val="000000"/>
          <w:sz w:val="24"/>
          <w:szCs w:val="24"/>
          <w:lang w:val="pt-BR" w:bidi="he-IL"/>
        </w:rPr>
      </w:pPr>
      <w:r>
        <w:rPr>
          <w:rFonts w:eastAsia="Times New Roman" w:asciiTheme="minorBidi" w:hAnsiTheme="minorBidi"/>
          <w:color w:val="000000"/>
          <w:sz w:val="24"/>
          <w:szCs w:val="24"/>
          <w:lang w:val="pt-BR" w:bidi="he-IL"/>
        </w:rPr>
        <w:t xml:space="preserve">O significado e aplicação prática dos livros apócrifos, pseudo epigráfos e deutero canônicos se aplica principalmente para o entendimento histórico e cultural na percepção dos textos de sua compreensão imediata na época da sua redação ou escrita inicial. A exegese é fundamental na boa aplicação do texto bíblico pessoal e na pregação. </w:t>
      </w:r>
    </w:p>
    <w:p>
      <w:pPr>
        <w:pStyle w:val="Normal"/>
        <w:spacing w:lineRule="auto" w:line="240" w:beforeAutospacing="1" w:afterAutospacing="1"/>
        <w:rPr>
          <w:rFonts w:eastAsia="Times New Roman" w:asciiTheme="minorBidi" w:hAnsiTheme="minorBidi"/>
          <w:color w:val="000000"/>
          <w:sz w:val="24"/>
          <w:szCs w:val="24"/>
          <w:lang w:val="pt-BR" w:bidi="he-IL"/>
        </w:rPr>
      </w:pPr>
      <w:r>
        <w:rPr>
          <w:rFonts w:eastAsia="Times New Roman" w:asciiTheme="minorBidi" w:hAnsiTheme="minorBidi"/>
          <w:color w:val="000000"/>
          <w:sz w:val="24"/>
          <w:szCs w:val="24"/>
          <w:lang w:val="pt-BR" w:bidi="he-IL"/>
        </w:rPr>
      </w:r>
    </w:p>
    <w:p>
      <w:pPr>
        <w:pStyle w:val="Normal"/>
        <w:spacing w:lineRule="auto" w:line="240" w:beforeAutospacing="1" w:afterAutospacing="1"/>
        <w:rPr>
          <w:rFonts w:eastAsia="Times New Roman" w:asciiTheme="minorBidi" w:hAnsiTheme="minorBidi"/>
          <w:color w:val="000000"/>
          <w:sz w:val="24"/>
          <w:szCs w:val="24"/>
          <w:lang w:val="pt-BR" w:bidi="he-IL"/>
        </w:rPr>
      </w:pPr>
      <w:r>
        <w:rPr>
          <w:rFonts w:eastAsia="Times New Roman" w:asciiTheme="minorBidi" w:hAnsiTheme="minorBidi"/>
          <w:color w:val="000000"/>
          <w:sz w:val="24"/>
          <w:szCs w:val="24"/>
          <w:lang w:val="pt-BR" w:bidi="he-IL"/>
        </w:rPr>
        <w:t xml:space="preserve">Um dos pontos aparentes de potencial conflito na canonicidade dos textos bíblicos é que Judas teria empregado material encontrado em 1 Esdras 9:23 e na Assunção de Moises. </w:t>
      </w:r>
    </w:p>
    <w:p>
      <w:pPr>
        <w:pStyle w:val="Normal"/>
        <w:spacing w:lineRule="auto" w:line="240" w:beforeAutospacing="1" w:afterAutospacing="1"/>
        <w:rPr>
          <w:rFonts w:eastAsia="Times New Roman" w:asciiTheme="minorBidi" w:hAnsiTheme="minorBidi"/>
          <w:color w:val="000000"/>
          <w:sz w:val="24"/>
          <w:szCs w:val="24"/>
          <w:lang w:val="pt-BR" w:bidi="he-IL"/>
        </w:rPr>
      </w:pPr>
      <w:r>
        <w:rPr>
          <w:rFonts w:eastAsia="Times New Roman" w:asciiTheme="minorBidi" w:hAnsiTheme="minorBidi"/>
          <w:color w:val="000000"/>
          <w:sz w:val="24"/>
          <w:szCs w:val="24"/>
          <w:lang w:val="pt-BR" w:bidi="he-IL"/>
        </w:rPr>
        <w:t xml:space="preserve"> </w:t>
      </w:r>
      <w:r>
        <w:rPr>
          <w:rFonts w:eastAsia="Times New Roman" w:asciiTheme="minorBidi" w:hAnsiTheme="minorBidi"/>
          <w:color w:val="000000"/>
          <w:sz w:val="24"/>
          <w:szCs w:val="24"/>
          <w:lang w:val="pt-BR" w:bidi="he-IL"/>
        </w:rPr>
        <w:t>.</w:t>
      </w:r>
    </w:p>
    <w:p>
      <w:pPr>
        <w:pStyle w:val="NormalWeb"/>
        <w:rPr>
          <w:rFonts w:ascii="Arial" w:hAnsi="Arial" w:cs="Arial"/>
          <w:lang w:val="pt-BR"/>
        </w:rPr>
      </w:pPr>
      <w:r>
        <w:rPr>
          <w:rFonts w:cs="Arial" w:ascii="Arial" w:hAnsi="Arial"/>
          <w:lang w:val="pt-BR"/>
        </w:rPr>
      </w:r>
    </w:p>
    <w:p>
      <w:pPr>
        <w:pStyle w:val="Normal"/>
        <w:spacing w:lineRule="auto" w:line="240" w:before="0" w:after="0"/>
        <w:jc w:val="both"/>
        <w:rPr/>
      </w:pPr>
      <w:r>
        <w:rPr>
          <w:rFonts w:cs="Arial" w:ascii="Arial" w:hAnsi="Arial"/>
          <w:sz w:val="24"/>
          <w:szCs w:val="24"/>
          <w:lang w:val="pt-BR"/>
        </w:rPr>
        <w:t xml:space="preserve">As traduções para o inglês dos livros não canônicos pode ser encontrada em </w:t>
      </w:r>
      <w:hyperlink r:id="rId2">
        <w:r>
          <w:rPr>
            <w:rStyle w:val="LinkdaInternet"/>
            <w:rFonts w:cs="Arial" w:ascii="Arial" w:hAnsi="Arial"/>
            <w:lang w:val="pt-BR"/>
          </w:rPr>
          <w:t>http://www.pseudepigrapha.com/</w:t>
        </w:r>
      </w:hyperlink>
      <w:r>
        <w:rPr>
          <w:rFonts w:cs="Arial" w:ascii="Arial" w:hAnsi="Arial"/>
          <w:sz w:val="24"/>
          <w:szCs w:val="24"/>
          <w:lang w:val="pt-BR"/>
        </w:rPr>
        <w:t xml:space="preserve"> e</w:t>
      </w:r>
      <w:r>
        <w:rPr>
          <w:rFonts w:cs="Arial" w:ascii="Arial" w:hAnsi="Arial"/>
          <w:lang w:val="pt-BR"/>
        </w:rPr>
        <w:t xml:space="preserve"> </w:t>
      </w:r>
      <w:hyperlink r:id="rId3">
        <w:r>
          <w:rPr>
            <w:rStyle w:val="LinkdaInternet"/>
            <w:rFonts w:cs="Arial" w:ascii="Arial" w:hAnsi="Arial"/>
            <w:lang w:val="pt-BR"/>
          </w:rPr>
          <w:t>http://www.earlychristianwritings.com/apocrypha.html</w:t>
        </w:r>
      </w:hyperlink>
      <w:r>
        <w:rPr>
          <w:rFonts w:cs="Arial" w:ascii="Arial" w:hAnsi="Arial"/>
          <w:sz w:val="24"/>
          <w:szCs w:val="24"/>
          <w:lang w:val="pt-BR"/>
        </w:rPr>
        <w:t xml:space="preserve">. </w:t>
      </w:r>
    </w:p>
    <w:p>
      <w:pPr>
        <w:pStyle w:val="Normal"/>
        <w:spacing w:lineRule="auto" w:line="240" w:before="0" w:after="0"/>
        <w:jc w:val="both"/>
        <w:rPr>
          <w:rFonts w:ascii="Arial" w:hAnsi="Arial" w:cs="Arial"/>
          <w:b/>
          <w:b/>
          <w:bCs/>
          <w:sz w:val="24"/>
          <w:szCs w:val="24"/>
          <w:lang w:val="pt-BR"/>
        </w:rPr>
      </w:pPr>
      <w:r>
        <w:rPr>
          <w:rFonts w:cs="Arial" w:ascii="Arial" w:hAnsi="Arial"/>
          <w:b/>
          <w:bCs/>
          <w:sz w:val="24"/>
          <w:szCs w:val="24"/>
          <w:lang w:val="pt-BR"/>
        </w:rPr>
      </w:r>
    </w:p>
    <w:p>
      <w:pPr>
        <w:pStyle w:val="Normal"/>
        <w:spacing w:lineRule="auto" w:line="240" w:before="0" w:after="0"/>
        <w:jc w:val="both"/>
        <w:rPr>
          <w:rFonts w:ascii="Arial" w:hAnsi="Arial" w:cs="Arial"/>
          <w:b/>
          <w:b/>
          <w:bCs/>
          <w:sz w:val="24"/>
          <w:szCs w:val="24"/>
          <w:lang w:val="pt-BR"/>
        </w:rPr>
      </w:pPr>
      <w:r>
        <w:rPr>
          <w:rFonts w:cs="Arial" w:ascii="Arial" w:hAnsi="Arial"/>
          <w:b/>
          <w:bCs/>
          <w:sz w:val="24"/>
          <w:szCs w:val="24"/>
          <w:lang w:val="pt-BR"/>
        </w:rPr>
      </w:r>
    </w:p>
    <w:p>
      <w:pPr>
        <w:pStyle w:val="Normal"/>
        <w:spacing w:lineRule="auto" w:line="240" w:before="0" w:after="0"/>
        <w:jc w:val="both"/>
        <w:rPr>
          <w:rFonts w:ascii="Arial" w:hAnsi="Arial" w:cs="Arial"/>
          <w:b/>
          <w:b/>
          <w:bCs/>
          <w:sz w:val="24"/>
          <w:szCs w:val="24"/>
          <w:lang w:val="pt-BR"/>
        </w:rPr>
      </w:pPr>
      <w:r>
        <w:rPr>
          <w:rFonts w:cs="Arial" w:ascii="Arial" w:hAnsi="Arial"/>
          <w:b/>
          <w:bCs/>
          <w:sz w:val="24"/>
          <w:szCs w:val="24"/>
          <w:lang w:val="pt-BR"/>
        </w:rPr>
      </w:r>
    </w:p>
    <w:p>
      <w:pPr>
        <w:pStyle w:val="Normal"/>
        <w:spacing w:lineRule="auto" w:line="240" w:before="0" w:after="0"/>
        <w:jc w:val="both"/>
        <w:rPr>
          <w:rFonts w:ascii="Arial" w:hAnsi="Arial" w:cs="Arial"/>
          <w:b/>
          <w:b/>
          <w:bCs/>
          <w:sz w:val="24"/>
          <w:szCs w:val="24"/>
          <w:lang w:val="pt-BR"/>
        </w:rPr>
      </w:pPr>
      <w:r>
        <w:rPr>
          <w:rFonts w:cs="Arial" w:ascii="Arial" w:hAnsi="Arial"/>
          <w:b/>
          <w:bCs/>
          <w:sz w:val="24"/>
          <w:szCs w:val="24"/>
          <w:lang w:val="pt-BR"/>
        </w:rPr>
      </w:r>
    </w:p>
    <w:p>
      <w:pPr>
        <w:pStyle w:val="NormalWeb"/>
        <w:jc w:val="both"/>
        <w:rPr>
          <w:rFonts w:ascii="Arial" w:hAnsi="Arial" w:cs="Arial"/>
          <w:b/>
          <w:b/>
          <w:color w:val="000000" w:themeColor="text1"/>
          <w:lang w:val="pt-BR"/>
        </w:rPr>
      </w:pPr>
      <w:r>
        <w:rPr>
          <w:rFonts w:cs="Arial" w:ascii="Arial" w:hAnsi="Arial"/>
          <w:b/>
          <w:color w:val="000000" w:themeColor="text1"/>
          <w:lang w:val="pt-BR"/>
        </w:rPr>
        <w:t>Canon</w:t>
      </w:r>
    </w:p>
    <w:p>
      <w:pPr>
        <w:pStyle w:val="NormalWeb"/>
        <w:jc w:val="both"/>
        <w:rPr>
          <w:rFonts w:ascii="Arial" w:hAnsi="Arial" w:cs="Arial"/>
          <w:color w:val="000000" w:themeColor="text1"/>
          <w:lang w:val="pt-BR"/>
        </w:rPr>
      </w:pPr>
      <w:r>
        <w:rPr>
          <w:rFonts w:cs="Arial" w:ascii="Arial" w:hAnsi="Arial"/>
          <w:color w:val="000000" w:themeColor="text1"/>
          <w:lang w:val="pt-BR"/>
        </w:rPr>
        <w:t xml:space="preserve">O judaismo rabínico reconhece os 24 livros da texto massorético. O processo de canonização ocorreu por etapas: Os livros das Torah por volta de 400 A.C., Nabiim por volta de 200 A. C. e os Ketubiim por volta de 100 D.C. Concilio de Jamnia no ano 90 AD terminando o Canon judaico. </w:t>
      </w:r>
    </w:p>
    <w:p>
      <w:pPr>
        <w:pStyle w:val="NormalWeb"/>
        <w:jc w:val="both"/>
        <w:rPr>
          <w:rFonts w:ascii="Arial" w:hAnsi="Arial" w:cs="Arial"/>
          <w:color w:val="000000" w:themeColor="text1"/>
          <w:lang w:val="pt-BR"/>
        </w:rPr>
      </w:pPr>
      <w:r>
        <w:rPr>
          <w:rFonts w:cs="Arial" w:ascii="Arial" w:hAnsi="Arial"/>
          <w:color w:val="000000" w:themeColor="text1"/>
          <w:lang w:val="pt-BR"/>
        </w:rPr>
        <w:t>Canon fornece o conceito de medida de autenticidade ou regras para aceitação.</w:t>
      </w:r>
    </w:p>
    <w:p>
      <w:pPr>
        <w:pStyle w:val="NormalWeb"/>
        <w:jc w:val="both"/>
        <w:rPr>
          <w:rFonts w:ascii="Arial" w:hAnsi="Arial" w:cs="Arial"/>
          <w:color w:val="000000" w:themeColor="text1"/>
          <w:lang w:val="pt-BR"/>
        </w:rPr>
      </w:pPr>
      <w:r>
        <w:rPr>
          <w:rFonts w:cs="Arial" w:ascii="Arial" w:hAnsi="Arial"/>
          <w:color w:val="000000" w:themeColor="text1"/>
          <w:lang w:val="pt-BR"/>
        </w:rPr>
        <w:t>Neste sentido se formam os livros bíblicos canônicos que são aceitos pelo judaísmo e protestantismo no VT. Os livros extras que correspondem ao deuterocanonicos, ou novos para o cano (novo Canon) são os aceitos complementarmente pelo catolicisimo no VT.</w:t>
      </w:r>
    </w:p>
    <w:p>
      <w:pPr>
        <w:pStyle w:val="NormalWeb"/>
        <w:jc w:val="both"/>
        <w:rPr>
          <w:rFonts w:ascii="Arial" w:hAnsi="Arial" w:cs="Arial"/>
          <w:color w:val="000000" w:themeColor="text1"/>
          <w:lang w:val="pt-BR"/>
        </w:rPr>
      </w:pPr>
      <w:r>
        <w:rPr>
          <w:rFonts w:cs="Arial" w:ascii="Arial" w:hAnsi="Arial"/>
          <w:color w:val="000000" w:themeColor="text1"/>
          <w:lang w:val="pt-BR"/>
        </w:rPr>
        <w:t>Os 24 livros do VT judaico são exatamente os mesmos 37 do protestantismo, sendo agrupados 1 e 2 Reis como único e assim por diante.</w:t>
      </w:r>
    </w:p>
    <w:p>
      <w:pPr>
        <w:pStyle w:val="NormalWeb"/>
        <w:jc w:val="both"/>
        <w:rPr>
          <w:rFonts w:ascii="Arial" w:hAnsi="Arial" w:cs="Arial"/>
          <w:color w:val="000000" w:themeColor="text1"/>
          <w:lang w:val="pt-BR"/>
        </w:rPr>
      </w:pPr>
      <w:r>
        <w:rPr>
          <w:rFonts w:cs="Arial" w:ascii="Arial" w:hAnsi="Arial"/>
          <w:color w:val="000000" w:themeColor="text1"/>
          <w:lang w:val="pt-BR"/>
        </w:rPr>
        <w:t>Os livros deuterocanonicos são classificados em apócrifos (sem identificação do autor) ou pseudoepígrafos (nomes não verdadeiros para valorizar o conteúdo, por exemplo, apocalipse de Moises), são livros históricos ou religiosos que devem ser considerados como tal.</w:t>
      </w:r>
    </w:p>
    <w:p>
      <w:pPr>
        <w:pStyle w:val="NormalWeb"/>
        <w:jc w:val="both"/>
        <w:rPr>
          <w:rFonts w:ascii="Arial" w:hAnsi="Arial" w:cs="Arial"/>
          <w:color w:val="000000" w:themeColor="text1"/>
          <w:lang w:val="pt-BR"/>
        </w:rPr>
      </w:pPr>
      <w:r>
        <w:rPr>
          <w:rFonts w:cs="Arial" w:ascii="Arial" w:hAnsi="Arial"/>
          <w:color w:val="000000" w:themeColor="text1"/>
          <w:lang w:val="pt-BR"/>
        </w:rPr>
        <w:t>Formação do texto do VT:</w:t>
      </w:r>
    </w:p>
    <w:p>
      <w:pPr>
        <w:pStyle w:val="NormalWeb"/>
        <w:jc w:val="both"/>
        <w:rPr>
          <w:rFonts w:ascii="Arial" w:hAnsi="Arial" w:cs="Arial"/>
          <w:color w:val="000000" w:themeColor="text1"/>
          <w:lang w:val="pt-BR"/>
        </w:rPr>
      </w:pPr>
      <w:r>
        <w:rPr>
          <w:rFonts w:cs="Arial" w:ascii="Arial" w:hAnsi="Arial"/>
          <w:color w:val="000000" w:themeColor="text1"/>
          <w:lang w:val="pt-BR"/>
        </w:rPr>
        <w:t>Textos originais em papiros, perdidos no tempo.</w:t>
      </w:r>
    </w:p>
    <w:p>
      <w:pPr>
        <w:pStyle w:val="NormalWeb"/>
        <w:jc w:val="both"/>
        <w:rPr>
          <w:rFonts w:ascii="Arial" w:hAnsi="Arial" w:cs="Arial"/>
          <w:color w:val="000000" w:themeColor="text1"/>
          <w:lang w:val="pt-BR"/>
        </w:rPr>
      </w:pPr>
      <w:r>
        <w:rPr>
          <w:rFonts w:cs="Arial" w:ascii="Arial" w:hAnsi="Arial"/>
          <w:color w:val="000000" w:themeColor="text1"/>
          <w:lang w:val="pt-BR"/>
        </w:rPr>
        <w:t>Textos massoréticos nono século da era cristã (entre o ano 700 e 1000). Os massoretas correspondem a um grupo religioso judaico que manteve o Tanakh inicialmente com a escrita sem vogais e depois acrescentou na forma escrita as vogais que não faziam parte do texto original para não perder a pronuncia das palavras.</w:t>
      </w:r>
    </w:p>
    <w:p>
      <w:pPr>
        <w:pStyle w:val="NormalWeb"/>
        <w:jc w:val="both"/>
        <w:rPr>
          <w:rFonts w:ascii="Arial" w:hAnsi="Arial" w:cs="Arial"/>
          <w:color w:val="000000" w:themeColor="text1"/>
          <w:lang w:val="pt-BR"/>
        </w:rPr>
      </w:pPr>
      <w:r>
        <w:rPr>
          <w:rFonts w:cs="Arial" w:ascii="Arial" w:hAnsi="Arial"/>
          <w:color w:val="000000" w:themeColor="text1"/>
          <w:lang w:val="pt-BR"/>
        </w:rPr>
        <w:t xml:space="preserve">Cunram: 1947, seita essênica retorna a autenticidade ou historicidade dos textos para  100 anos A.C. Todos os livros do VT são encontrados no VT com exceção do livro de Ester, também são encontrados os livros da própria seita. Os essênios tem referencia no AT. </w:t>
      </w:r>
    </w:p>
    <w:p>
      <w:pPr>
        <w:pStyle w:val="NormalWeb"/>
        <w:jc w:val="both"/>
        <w:rPr/>
      </w:pPr>
      <w:r>
        <w:rPr>
          <w:rFonts w:cs="Arial" w:ascii="Arial" w:hAnsi="Arial"/>
          <w:b/>
          <w:bCs/>
          <w:color w:val="000000" w:themeColor="text1"/>
          <w:lang w:val="pt-BR"/>
        </w:rPr>
        <w:t>Septuaginta</w:t>
      </w:r>
      <w:r>
        <w:rPr>
          <w:rFonts w:cs="Arial" w:ascii="Arial" w:hAnsi="Arial"/>
          <w:color w:val="000000" w:themeColor="text1"/>
          <w:lang w:val="pt-BR"/>
        </w:rPr>
        <w:t xml:space="preserve"> é o nome da versão da </w:t>
      </w:r>
      <w:hyperlink r:id="rId4">
        <w:r>
          <w:rPr>
            <w:rStyle w:val="LinkdaInternet"/>
            <w:rFonts w:cs="Arial" w:ascii="Arial" w:hAnsi="Arial"/>
            <w:color w:val="000000" w:themeColor="text1"/>
            <w:lang w:val="pt-BR"/>
          </w:rPr>
          <w:t>Bíblia hebraica</w:t>
        </w:r>
      </w:hyperlink>
      <w:r>
        <w:rPr>
          <w:rFonts w:cs="Arial" w:ascii="Arial" w:hAnsi="Arial"/>
          <w:color w:val="000000" w:themeColor="text1"/>
          <w:lang w:val="pt-BR"/>
        </w:rPr>
        <w:t xml:space="preserve"> para o </w:t>
      </w:r>
      <w:hyperlink r:id="rId5">
        <w:r>
          <w:rPr>
            <w:rStyle w:val="LinkdaInternet"/>
            <w:rFonts w:cs="Arial" w:ascii="Arial" w:hAnsi="Arial"/>
            <w:color w:val="000000" w:themeColor="text1"/>
            <w:lang w:val="pt-BR"/>
          </w:rPr>
          <w:t>grego koiné</w:t>
        </w:r>
      </w:hyperlink>
      <w:r>
        <w:rPr>
          <w:rFonts w:cs="Arial" w:ascii="Arial" w:hAnsi="Arial"/>
          <w:color w:val="000000" w:themeColor="text1"/>
          <w:lang w:val="pt-BR"/>
        </w:rPr>
        <w:t xml:space="preserve">, traduzida em etapas entre o terceiro e o primeiro século </w:t>
      </w:r>
      <w:hyperlink r:id="rId6">
        <w:r>
          <w:rPr>
            <w:rStyle w:val="LinkdaInternet"/>
            <w:rFonts w:cs="Arial" w:ascii="Arial" w:hAnsi="Arial"/>
            <w:color w:val="000000" w:themeColor="text1"/>
            <w:lang w:val="pt-BR"/>
          </w:rPr>
          <w:t>a.C.</w:t>
        </w:r>
      </w:hyperlink>
      <w:r>
        <w:rPr>
          <w:rFonts w:cs="Arial" w:ascii="Arial" w:hAnsi="Arial"/>
          <w:color w:val="000000" w:themeColor="text1"/>
          <w:lang w:val="pt-BR"/>
        </w:rPr>
        <w:t xml:space="preserve"> em </w:t>
      </w:r>
      <w:hyperlink r:id="rId7">
        <w:r>
          <w:rPr>
            <w:rStyle w:val="LinkdaInternet"/>
            <w:rFonts w:cs="Arial" w:ascii="Arial" w:hAnsi="Arial"/>
            <w:color w:val="000000" w:themeColor="text1"/>
            <w:lang w:val="pt-BR"/>
          </w:rPr>
          <w:t>Alexandria</w:t>
        </w:r>
      </w:hyperlink>
      <w:r>
        <w:rPr>
          <w:rFonts w:cs="Arial" w:ascii="Arial" w:hAnsi="Arial"/>
          <w:color w:val="000000" w:themeColor="text1"/>
          <w:lang w:val="pt-BR"/>
        </w:rPr>
        <w:t>.</w:t>
      </w:r>
    </w:p>
    <w:p>
      <w:pPr>
        <w:pStyle w:val="NormalWeb"/>
        <w:jc w:val="both"/>
        <w:rPr/>
      </w:pPr>
      <w:r>
        <w:rPr>
          <w:rFonts w:cs="Arial" w:ascii="Arial" w:hAnsi="Arial"/>
          <w:color w:val="000000" w:themeColor="text1"/>
          <w:lang w:val="pt-BR"/>
        </w:rPr>
        <w:t xml:space="preserve">Dentre outras tantas, é a mais antiga tradução da bíblia hebraica para o grego, </w:t>
      </w:r>
      <w:hyperlink r:id="rId8">
        <w:r>
          <w:rPr>
            <w:rStyle w:val="LinkdaInternet"/>
            <w:rFonts w:cs="Arial" w:ascii="Arial" w:hAnsi="Arial"/>
            <w:color w:val="000000" w:themeColor="text1"/>
            <w:lang w:val="pt-BR"/>
          </w:rPr>
          <w:t>língua franca</w:t>
        </w:r>
      </w:hyperlink>
      <w:r>
        <w:rPr>
          <w:rFonts w:cs="Arial" w:ascii="Arial" w:hAnsi="Arial"/>
          <w:color w:val="000000" w:themeColor="text1"/>
          <w:lang w:val="pt-BR"/>
        </w:rPr>
        <w:t xml:space="preserve"> do Mediterrâneo oriental pelo tempo de </w:t>
      </w:r>
      <w:hyperlink r:id="rId9">
        <w:r>
          <w:rPr>
            <w:rStyle w:val="LinkdaInternet"/>
            <w:rFonts w:cs="Arial" w:ascii="Arial" w:hAnsi="Arial"/>
            <w:color w:val="000000" w:themeColor="text1"/>
            <w:lang w:val="pt-BR"/>
          </w:rPr>
          <w:t>Alexandre, o Grande</w:t>
        </w:r>
      </w:hyperlink>
      <w:r>
        <w:rPr>
          <w:rFonts w:cs="Arial" w:ascii="Arial" w:hAnsi="Arial"/>
          <w:color w:val="000000" w:themeColor="text1"/>
          <w:lang w:val="pt-BR"/>
        </w:rPr>
        <w:t>.</w:t>
      </w:r>
    </w:p>
    <w:p>
      <w:pPr>
        <w:pStyle w:val="NormalWeb"/>
        <w:jc w:val="both"/>
        <w:rPr>
          <w:rFonts w:ascii="Arial" w:hAnsi="Arial" w:cs="Arial"/>
          <w:color w:val="000000" w:themeColor="text1"/>
          <w:lang w:val="pt-BR"/>
        </w:rPr>
      </w:pPr>
      <w:r>
        <w:rPr>
          <w:rFonts w:cs="Arial" w:ascii="Arial" w:hAnsi="Arial"/>
          <w:color w:val="000000" w:themeColor="text1"/>
          <w:lang w:val="pt-BR"/>
        </w:rPr>
        <w:t xml:space="preserve">A tradução ficou conhecida como a </w:t>
      </w:r>
      <w:r>
        <w:rPr>
          <w:rFonts w:cs="Arial" w:ascii="Arial" w:hAnsi="Arial"/>
          <w:b/>
          <w:bCs/>
          <w:color w:val="000000" w:themeColor="text1"/>
          <w:lang w:val="pt-BR"/>
        </w:rPr>
        <w:t>Versão dos Setenta</w:t>
      </w:r>
      <w:r>
        <w:rPr>
          <w:rFonts w:cs="Arial" w:ascii="Arial" w:hAnsi="Arial"/>
          <w:color w:val="000000" w:themeColor="text1"/>
          <w:lang w:val="pt-BR"/>
        </w:rPr>
        <w:t xml:space="preserve"> (ou </w:t>
      </w:r>
      <w:r>
        <w:rPr>
          <w:rFonts w:cs="Arial" w:ascii="Arial" w:hAnsi="Arial"/>
          <w:b/>
          <w:bCs/>
          <w:color w:val="000000" w:themeColor="text1"/>
          <w:lang w:val="pt-BR"/>
        </w:rPr>
        <w:t>Septuaginta</w:t>
      </w:r>
      <w:r>
        <w:rPr>
          <w:rFonts w:cs="Arial" w:ascii="Arial" w:hAnsi="Arial"/>
          <w:color w:val="000000" w:themeColor="text1"/>
          <w:lang w:val="pt-BR"/>
        </w:rPr>
        <w:t xml:space="preserve">, palavra latina que significa setenta, ou ainda </w:t>
      </w:r>
      <w:r>
        <w:rPr>
          <w:rFonts w:cs="Arial" w:ascii="Arial" w:hAnsi="Arial"/>
          <w:b/>
          <w:bCs/>
          <w:color w:val="000000" w:themeColor="text1"/>
          <w:lang w:val="pt-BR"/>
        </w:rPr>
        <w:t>LXX</w:t>
      </w:r>
      <w:r>
        <w:rPr>
          <w:rFonts w:cs="Arial" w:ascii="Arial" w:hAnsi="Arial"/>
          <w:color w:val="000000" w:themeColor="text1"/>
          <w:lang w:val="pt-BR"/>
        </w:rPr>
        <w:t>), pois setenta e dois rabinos trabalharam nela e, segundo a história, teriam completado a tradução em setenta e dois dias.</w:t>
      </w:r>
    </w:p>
    <w:p>
      <w:pPr>
        <w:pStyle w:val="NormalWeb"/>
        <w:jc w:val="both"/>
        <w:rPr/>
      </w:pPr>
      <w:r>
        <w:rPr>
          <w:rFonts w:cs="Arial" w:ascii="Arial" w:hAnsi="Arial"/>
          <w:color w:val="000000" w:themeColor="text1"/>
          <w:lang w:val="pt-BR"/>
        </w:rPr>
        <w:t xml:space="preserve">A Septuaginta foi usada como base para diversas traduções da </w:t>
      </w:r>
      <w:hyperlink r:id="rId10">
        <w:r>
          <w:rPr>
            <w:rStyle w:val="LinkdaInternet"/>
            <w:rFonts w:cs="Arial" w:ascii="Arial" w:hAnsi="Arial"/>
            <w:color w:val="000000" w:themeColor="text1"/>
            <w:lang w:val="pt-BR"/>
          </w:rPr>
          <w:t>Bíblia</w:t>
        </w:r>
      </w:hyperlink>
      <w:r>
        <w:rPr>
          <w:rFonts w:cs="Arial" w:ascii="Arial" w:hAnsi="Arial"/>
          <w:color w:val="000000" w:themeColor="text1"/>
          <w:lang w:val="pt-BR"/>
        </w:rPr>
        <w:t>.</w:t>
      </w:r>
    </w:p>
    <w:p>
      <w:pPr>
        <w:pStyle w:val="NormalWeb"/>
        <w:jc w:val="both"/>
        <w:rPr/>
      </w:pPr>
      <w:r>
        <w:rPr>
          <w:rFonts w:cs="Arial" w:ascii="Arial" w:hAnsi="Arial"/>
          <w:color w:val="000000" w:themeColor="text1"/>
          <w:lang w:val="pt-BR"/>
        </w:rPr>
        <w:t xml:space="preserve">A Septuaginta inclui alguns livros não encontrados na bíblia hebraica. Muitas bíblias da </w:t>
      </w:r>
      <w:hyperlink r:id="rId11">
        <w:r>
          <w:rPr>
            <w:rStyle w:val="LinkdaInternet"/>
            <w:rFonts w:cs="Arial" w:ascii="Arial" w:hAnsi="Arial"/>
            <w:color w:val="000000" w:themeColor="text1"/>
            <w:lang w:val="pt-BR"/>
          </w:rPr>
          <w:t>Reforma</w:t>
        </w:r>
      </w:hyperlink>
      <w:r>
        <w:rPr>
          <w:rFonts w:cs="Arial" w:ascii="Arial" w:hAnsi="Arial"/>
          <w:color w:val="000000" w:themeColor="text1"/>
          <w:lang w:val="pt-BR"/>
        </w:rPr>
        <w:t xml:space="preserve"> seguem o </w:t>
      </w:r>
      <w:hyperlink r:id="rId12">
        <w:r>
          <w:rPr>
            <w:rStyle w:val="LinkdaInternet"/>
            <w:rFonts w:cs="Arial" w:ascii="Arial" w:hAnsi="Arial"/>
            <w:color w:val="000000" w:themeColor="text1"/>
            <w:lang w:val="pt-BR"/>
          </w:rPr>
          <w:t>cânone judaico</w:t>
        </w:r>
      </w:hyperlink>
      <w:r>
        <w:rPr>
          <w:rFonts w:cs="Arial" w:ascii="Arial" w:hAnsi="Arial"/>
          <w:color w:val="000000" w:themeColor="text1"/>
          <w:lang w:val="pt-BR"/>
        </w:rPr>
        <w:t xml:space="preserve"> e excluem estes livros adicionais. Entretanto, </w:t>
      </w:r>
      <w:hyperlink r:id="rId13">
        <w:r>
          <w:rPr>
            <w:rStyle w:val="LinkdaInternet"/>
            <w:rFonts w:cs="Arial" w:ascii="Arial" w:hAnsi="Arial"/>
            <w:color w:val="000000" w:themeColor="text1"/>
            <w:lang w:val="pt-BR"/>
          </w:rPr>
          <w:t>católicos romanos</w:t>
        </w:r>
      </w:hyperlink>
      <w:r>
        <w:rPr>
          <w:rFonts w:cs="Arial" w:ascii="Arial" w:hAnsi="Arial"/>
          <w:color w:val="000000" w:themeColor="text1"/>
          <w:lang w:val="pt-BR"/>
        </w:rPr>
        <w:t xml:space="preserve"> incluem alguns destes livros em seu cânon e as </w:t>
      </w:r>
      <w:hyperlink r:id="rId14">
        <w:r>
          <w:rPr>
            <w:rStyle w:val="LinkdaInternet"/>
            <w:rFonts w:cs="Arial" w:ascii="Arial" w:hAnsi="Arial"/>
            <w:color w:val="000000" w:themeColor="text1"/>
            <w:lang w:val="pt-BR"/>
          </w:rPr>
          <w:t>Igrejas ortodoxas</w:t>
        </w:r>
      </w:hyperlink>
      <w:r>
        <w:rPr>
          <w:rFonts w:cs="Arial" w:ascii="Arial" w:hAnsi="Arial"/>
          <w:color w:val="000000" w:themeColor="text1"/>
          <w:lang w:val="pt-BR"/>
        </w:rPr>
        <w:t xml:space="preserve"> usam todos os livros conforme a Septuaginta. </w:t>
      </w:r>
      <w:hyperlink r:id="rId15">
        <w:r>
          <w:rPr>
            <w:rStyle w:val="LinkdaInternet"/>
            <w:rFonts w:cs="Arial" w:ascii="Arial" w:hAnsi="Arial"/>
            <w:color w:val="000000" w:themeColor="text1"/>
            <w:lang w:val="pt-BR"/>
          </w:rPr>
          <w:t>Anglicanos</w:t>
        </w:r>
      </w:hyperlink>
      <w:r>
        <w:rPr>
          <w:rFonts w:cs="Arial" w:ascii="Arial" w:hAnsi="Arial"/>
          <w:color w:val="000000" w:themeColor="text1"/>
          <w:lang w:val="pt-BR"/>
        </w:rPr>
        <w:t xml:space="preserve">, assim como a Igreja oriental, usam todos os livros exceto o </w:t>
      </w:r>
      <w:hyperlink r:id="rId16">
        <w:r>
          <w:rPr>
            <w:rStyle w:val="LinkdaInternet"/>
            <w:rFonts w:cs="Arial" w:ascii="Arial" w:hAnsi="Arial"/>
            <w:color w:val="000000" w:themeColor="text1"/>
            <w:lang w:val="pt-BR"/>
          </w:rPr>
          <w:t>Salmo 151</w:t>
        </w:r>
      </w:hyperlink>
      <w:r>
        <w:rPr>
          <w:rFonts w:cs="Arial" w:ascii="Arial" w:hAnsi="Arial"/>
          <w:color w:val="000000" w:themeColor="text1"/>
          <w:lang w:val="pt-BR"/>
        </w:rPr>
        <w:t xml:space="preserve">, e a bíblia do </w:t>
      </w:r>
      <w:hyperlink r:id="rId17">
        <w:r>
          <w:rPr>
            <w:rStyle w:val="LinkdaInternet"/>
            <w:rFonts w:cs="Arial" w:ascii="Arial" w:hAnsi="Arial"/>
            <w:color w:val="000000" w:themeColor="text1"/>
            <w:lang w:val="pt-BR"/>
          </w:rPr>
          <w:t>rei James</w:t>
        </w:r>
      </w:hyperlink>
      <w:r>
        <w:rPr>
          <w:rFonts w:cs="Arial" w:ascii="Arial" w:hAnsi="Arial"/>
          <w:color w:val="000000" w:themeColor="text1"/>
          <w:lang w:val="pt-BR"/>
        </w:rPr>
        <w:t xml:space="preserve"> em sua versão autorizada inclui estes livros adicionais em uma parte separada chamada de </w:t>
      </w:r>
      <w:hyperlink r:id="rId18">
        <w:r>
          <w:rPr>
            <w:rStyle w:val="LinkdaInternet"/>
            <w:rFonts w:cs="Arial" w:ascii="Arial" w:hAnsi="Arial"/>
            <w:i/>
            <w:iCs/>
            <w:color w:val="000000" w:themeColor="text1"/>
            <w:lang w:val="pt-BR"/>
          </w:rPr>
          <w:t>Apocrypha</w:t>
        </w:r>
      </w:hyperlink>
      <w:r>
        <w:rPr>
          <w:rFonts w:cs="Arial" w:ascii="Arial" w:hAnsi="Arial"/>
          <w:color w:val="000000" w:themeColor="text1"/>
          <w:lang w:val="pt-BR"/>
        </w:rPr>
        <w:t>.</w:t>
      </w:r>
    </w:p>
    <w:p>
      <w:pPr>
        <w:pStyle w:val="NormalWeb"/>
        <w:jc w:val="both"/>
        <w:rPr/>
      </w:pPr>
      <w:r>
        <w:rPr>
          <w:rFonts w:cs="Arial" w:ascii="Arial" w:hAnsi="Arial"/>
          <w:color w:val="000000" w:themeColor="text1"/>
          <w:lang w:val="pt-BR"/>
        </w:rPr>
        <w:t xml:space="preserve">A Septuaginta foi tida em alta conta nos tempos antigos. </w:t>
      </w:r>
      <w:hyperlink r:id="rId19">
        <w:r>
          <w:rPr>
            <w:rStyle w:val="LinkdaInternet"/>
            <w:rFonts w:cs="Arial" w:ascii="Arial" w:hAnsi="Arial"/>
            <w:color w:val="000000" w:themeColor="text1"/>
            <w:lang w:val="pt-BR"/>
          </w:rPr>
          <w:t>Fílon de Alexandria</w:t>
        </w:r>
      </w:hyperlink>
      <w:r>
        <w:rPr>
          <w:rFonts w:cs="Arial" w:ascii="Arial" w:hAnsi="Arial"/>
          <w:color w:val="000000" w:themeColor="text1"/>
          <w:lang w:val="pt-BR"/>
        </w:rPr>
        <w:t xml:space="preserve"> e </w:t>
      </w:r>
      <w:hyperlink r:id="rId20">
        <w:r>
          <w:rPr>
            <w:rStyle w:val="LinkdaInternet"/>
            <w:rFonts w:cs="Arial" w:ascii="Arial" w:hAnsi="Arial"/>
            <w:color w:val="000000" w:themeColor="text1"/>
            <w:lang w:val="pt-BR"/>
          </w:rPr>
          <w:t>Flávio Josefo</w:t>
        </w:r>
      </w:hyperlink>
      <w:r>
        <w:rPr>
          <w:rFonts w:cs="Arial" w:ascii="Arial" w:hAnsi="Arial"/>
          <w:color w:val="000000" w:themeColor="text1"/>
          <w:lang w:val="pt-BR"/>
        </w:rPr>
        <w:t xml:space="preserve"> consideravam-na divinamente inspirada. Além das traduções latinas antigas, a LXX também foi a base para as versões em </w:t>
      </w:r>
      <w:hyperlink r:id="rId21">
        <w:r>
          <w:rPr>
            <w:rStyle w:val="LinkdaInternet"/>
            <w:rFonts w:cs="Arial" w:ascii="Arial" w:hAnsi="Arial"/>
            <w:color w:val="000000" w:themeColor="text1"/>
            <w:lang w:val="pt-BR"/>
          </w:rPr>
          <w:t>eslavo eclesiástico</w:t>
        </w:r>
      </w:hyperlink>
      <w:r>
        <w:rPr>
          <w:rFonts w:cs="Arial" w:ascii="Arial" w:hAnsi="Arial"/>
          <w:color w:val="000000" w:themeColor="text1"/>
          <w:lang w:val="pt-BR"/>
        </w:rPr>
        <w:t xml:space="preserve">, para a </w:t>
      </w:r>
      <w:hyperlink r:id="rId22">
        <w:r>
          <w:rPr>
            <w:rStyle w:val="LinkdaInternet"/>
            <w:rFonts w:cs="Arial" w:ascii="Arial" w:hAnsi="Arial"/>
            <w:color w:val="000000" w:themeColor="text1"/>
            <w:lang w:val="pt-BR"/>
          </w:rPr>
          <w:t>Héxapla</w:t>
        </w:r>
      </w:hyperlink>
      <w:r>
        <w:rPr>
          <w:rFonts w:cs="Arial" w:ascii="Arial" w:hAnsi="Arial"/>
          <w:color w:val="000000" w:themeColor="text1"/>
          <w:lang w:val="pt-BR"/>
        </w:rPr>
        <w:t xml:space="preserve"> de </w:t>
      </w:r>
      <w:hyperlink r:id="rId23">
        <w:r>
          <w:rPr>
            <w:rStyle w:val="LinkdaInternet"/>
            <w:rFonts w:cs="Arial" w:ascii="Arial" w:hAnsi="Arial"/>
            <w:color w:val="000000" w:themeColor="text1"/>
            <w:lang w:val="pt-BR"/>
          </w:rPr>
          <w:t>Orígenes</w:t>
        </w:r>
      </w:hyperlink>
      <w:r>
        <w:rPr>
          <w:rFonts w:cs="Arial" w:ascii="Arial" w:hAnsi="Arial"/>
          <w:color w:val="000000" w:themeColor="text1"/>
          <w:lang w:val="pt-BR"/>
        </w:rPr>
        <w:t xml:space="preserve"> (parte) e para as versões </w:t>
      </w:r>
      <w:hyperlink r:id="rId24">
        <w:r>
          <w:rPr>
            <w:rStyle w:val="LinkdaInternet"/>
            <w:rFonts w:cs="Arial" w:ascii="Arial" w:hAnsi="Arial"/>
            <w:color w:val="000000" w:themeColor="text1"/>
            <w:lang w:val="pt-BR"/>
          </w:rPr>
          <w:t>armênia</w:t>
        </w:r>
      </w:hyperlink>
      <w:r>
        <w:rPr>
          <w:rFonts w:cs="Arial" w:ascii="Arial" w:hAnsi="Arial"/>
          <w:color w:val="000000" w:themeColor="text1"/>
          <w:lang w:val="pt-BR"/>
        </w:rPr>
        <w:t xml:space="preserve">, </w:t>
      </w:r>
      <w:hyperlink r:id="rId25">
        <w:r>
          <w:rPr>
            <w:rStyle w:val="LinkdaInternet"/>
            <w:rFonts w:cs="Arial" w:ascii="Arial" w:hAnsi="Arial"/>
            <w:color w:val="000000" w:themeColor="text1"/>
            <w:lang w:val="pt-BR"/>
          </w:rPr>
          <w:t>georgiana</w:t>
        </w:r>
      </w:hyperlink>
      <w:r>
        <w:rPr>
          <w:rFonts w:cs="Arial" w:ascii="Arial" w:hAnsi="Arial"/>
          <w:color w:val="000000" w:themeColor="text1"/>
          <w:lang w:val="pt-BR"/>
        </w:rPr>
        <w:t xml:space="preserve"> e </w:t>
      </w:r>
      <w:hyperlink r:id="rId26">
        <w:r>
          <w:rPr>
            <w:rStyle w:val="LinkdaInternet"/>
            <w:rFonts w:cs="Arial" w:ascii="Arial" w:hAnsi="Arial"/>
            <w:color w:val="000000" w:themeColor="text1"/>
            <w:lang w:val="pt-BR"/>
          </w:rPr>
          <w:t>copta</w:t>
        </w:r>
      </w:hyperlink>
      <w:r>
        <w:rPr>
          <w:rFonts w:cs="Arial" w:ascii="Arial" w:hAnsi="Arial"/>
          <w:color w:val="000000" w:themeColor="text1"/>
          <w:lang w:val="pt-BR"/>
        </w:rPr>
        <w:t xml:space="preserve"> do Antigo testamento. De grande significado para muitos cristãos e estudiosos da Bíblia, é citada no </w:t>
      </w:r>
      <w:hyperlink r:id="rId27">
        <w:r>
          <w:rPr>
            <w:rStyle w:val="LinkdaInternet"/>
            <w:rFonts w:cs="Arial" w:ascii="Arial" w:hAnsi="Arial"/>
            <w:color w:val="000000" w:themeColor="text1"/>
            <w:lang w:val="pt-BR"/>
          </w:rPr>
          <w:t>Novo Testamento</w:t>
        </w:r>
      </w:hyperlink>
      <w:r>
        <w:rPr>
          <w:rFonts w:cs="Arial" w:ascii="Arial" w:hAnsi="Arial"/>
          <w:color w:val="000000" w:themeColor="text1"/>
          <w:lang w:val="pt-BR"/>
        </w:rPr>
        <w:t xml:space="preserve"> e pelos </w:t>
      </w:r>
      <w:hyperlink r:id="rId28">
        <w:r>
          <w:rPr>
            <w:rStyle w:val="LinkdaInternet"/>
            <w:rFonts w:cs="Arial" w:ascii="Arial" w:hAnsi="Arial"/>
            <w:color w:val="000000" w:themeColor="text1"/>
            <w:lang w:val="pt-BR"/>
          </w:rPr>
          <w:t>Padres da Igreja</w:t>
        </w:r>
      </w:hyperlink>
      <w:r>
        <w:rPr>
          <w:rFonts w:cs="Arial" w:ascii="Arial" w:hAnsi="Arial"/>
          <w:color w:val="000000" w:themeColor="text1"/>
          <w:lang w:val="pt-BR"/>
        </w:rPr>
        <w:t xml:space="preserve">. Muito embora judeus não usassem a LXX desde o </w:t>
      </w:r>
      <w:hyperlink r:id="rId29">
        <w:r>
          <w:rPr>
            <w:rStyle w:val="LinkdaInternet"/>
            <w:rFonts w:cs="Arial" w:ascii="Arial" w:hAnsi="Arial"/>
            <w:color w:val="000000" w:themeColor="text1"/>
            <w:lang w:val="pt-BR"/>
          </w:rPr>
          <w:t>século II</w:t>
        </w:r>
      </w:hyperlink>
      <w:r>
        <w:rPr>
          <w:rFonts w:cs="Arial" w:ascii="Arial" w:hAnsi="Arial"/>
          <w:color w:val="000000" w:themeColor="text1"/>
          <w:lang w:val="pt-BR"/>
        </w:rPr>
        <w:t xml:space="preserve"> </w:t>
      </w:r>
      <w:hyperlink r:id="rId30">
        <w:r>
          <w:rPr>
            <w:rStyle w:val="LinkdaInternet"/>
            <w:rFonts w:cs="Arial" w:ascii="Arial" w:hAnsi="Arial"/>
            <w:color w:val="000000" w:themeColor="text1"/>
            <w:lang w:val="pt-BR"/>
          </w:rPr>
          <w:t>AD</w:t>
        </w:r>
      </w:hyperlink>
      <w:r>
        <w:rPr>
          <w:rFonts w:cs="Arial" w:ascii="Arial" w:hAnsi="Arial"/>
          <w:color w:val="000000" w:themeColor="text1"/>
          <w:lang w:val="pt-BR"/>
        </w:rPr>
        <w:t xml:space="preserve"> recentes estudos acadêmicos troxeram um novo interesse sobre o tema nos estudos judaicos. Alguns dos </w:t>
      </w:r>
      <w:hyperlink r:id="rId31">
        <w:r>
          <w:rPr>
            <w:rStyle w:val="LinkdaInternet"/>
            <w:rFonts w:cs="Arial" w:ascii="Arial" w:hAnsi="Arial"/>
            <w:color w:val="000000" w:themeColor="text1"/>
            <w:lang w:val="pt-BR"/>
          </w:rPr>
          <w:t>pergaminhos do Mar Morto</w:t>
        </w:r>
      </w:hyperlink>
      <w:r>
        <w:rPr>
          <w:rFonts w:cs="Arial" w:ascii="Arial" w:hAnsi="Arial"/>
          <w:color w:val="000000" w:themeColor="text1"/>
          <w:lang w:val="pt-BR"/>
        </w:rPr>
        <w:t xml:space="preserve"> sugerem que o texto hebraico pode ter tido outras fontes que não apenas aquelas que formaram o </w:t>
      </w:r>
      <w:hyperlink r:id="rId32">
        <w:r>
          <w:rPr>
            <w:rStyle w:val="LinkdaInternet"/>
            <w:rFonts w:cs="Arial" w:ascii="Arial" w:hAnsi="Arial"/>
            <w:color w:val="000000" w:themeColor="text1"/>
            <w:lang w:val="pt-BR"/>
          </w:rPr>
          <w:t>texto massorético</w:t>
        </w:r>
      </w:hyperlink>
      <w:r>
        <w:rPr>
          <w:rFonts w:cs="Arial" w:ascii="Arial" w:hAnsi="Arial"/>
          <w:color w:val="000000" w:themeColor="text1"/>
          <w:lang w:val="pt-BR"/>
        </w:rPr>
        <w:t>. Em vários casos, estes novos textos encontrados estão de acordo com a LXX. Os mais antigos códices da LXX (</w:t>
      </w:r>
      <w:hyperlink r:id="rId33">
        <w:r>
          <w:rPr>
            <w:rStyle w:val="LinkdaInternet"/>
            <w:rFonts w:cs="Arial" w:ascii="Arial" w:hAnsi="Arial"/>
            <w:i/>
            <w:iCs/>
            <w:color w:val="000000" w:themeColor="text1"/>
            <w:lang w:val="pt-BR"/>
          </w:rPr>
          <w:t>Vaticanus</w:t>
        </w:r>
      </w:hyperlink>
      <w:r>
        <w:rPr>
          <w:rFonts w:cs="Arial" w:ascii="Arial" w:hAnsi="Arial"/>
          <w:color w:val="000000" w:themeColor="text1"/>
          <w:lang w:val="pt-BR"/>
        </w:rPr>
        <w:t xml:space="preserve"> e </w:t>
      </w:r>
      <w:hyperlink r:id="rId34">
        <w:r>
          <w:rPr>
            <w:rStyle w:val="LinkdaInternet"/>
            <w:rFonts w:cs="Arial" w:ascii="Arial" w:hAnsi="Arial"/>
            <w:i/>
            <w:iCs/>
            <w:color w:val="000000" w:themeColor="text1"/>
            <w:lang w:val="pt-BR"/>
          </w:rPr>
          <w:t>Sinaiticus</w:t>
        </w:r>
      </w:hyperlink>
      <w:r>
        <w:rPr>
          <w:rFonts w:cs="Arial" w:ascii="Arial" w:hAnsi="Arial"/>
          <w:color w:val="000000" w:themeColor="text1"/>
          <w:lang w:val="pt-BR"/>
        </w:rPr>
        <w:t xml:space="preserve">) datam do </w:t>
      </w:r>
      <w:hyperlink r:id="rId35">
        <w:r>
          <w:rPr>
            <w:rStyle w:val="LinkdaInternet"/>
            <w:rFonts w:cs="Arial" w:ascii="Arial" w:hAnsi="Arial"/>
            <w:color w:val="000000" w:themeColor="text1"/>
            <w:lang w:val="pt-BR"/>
          </w:rPr>
          <w:t>século IV</w:t>
        </w:r>
      </w:hyperlink>
      <w:r>
        <w:rPr>
          <w:rFonts w:cs="Arial" w:ascii="Arial" w:hAnsi="Arial"/>
          <w:color w:val="000000" w:themeColor="text1"/>
          <w:lang w:val="pt-BR"/>
        </w:rPr>
        <w:t xml:space="preserve"> </w:t>
      </w:r>
      <w:hyperlink r:id="rId36">
        <w:r>
          <w:rPr>
            <w:rStyle w:val="LinkdaInternet"/>
            <w:rFonts w:cs="Arial" w:ascii="Arial" w:hAnsi="Arial"/>
            <w:color w:val="000000" w:themeColor="text1"/>
            <w:lang w:val="pt-BR"/>
          </w:rPr>
          <w:t>AD</w:t>
        </w:r>
      </w:hyperlink>
      <w:r>
        <w:rPr>
          <w:rFonts w:cs="Arial" w:ascii="Arial" w:hAnsi="Arial"/>
          <w:color w:val="000000" w:themeColor="text1"/>
          <w:lang w:val="pt-BR"/>
        </w:rPr>
        <w:t>.</w:t>
      </w:r>
    </w:p>
    <w:p>
      <w:pPr>
        <w:pStyle w:val="NormalWeb"/>
        <w:jc w:val="both"/>
        <w:rPr>
          <w:rFonts w:ascii="Arial" w:hAnsi="Arial" w:cs="Arial"/>
          <w:color w:val="000000" w:themeColor="text1"/>
          <w:lang w:val="pt-BR"/>
        </w:rPr>
      </w:pPr>
      <w:r>
        <w:rPr>
          <w:rFonts w:cs="Arial" w:ascii="Arial" w:hAnsi="Arial"/>
          <w:color w:val="000000" w:themeColor="text1"/>
          <w:lang w:val="pt-BR"/>
        </w:rPr>
      </w:r>
    </w:p>
    <w:p>
      <w:pPr>
        <w:pStyle w:val="NormalWeb"/>
        <w:jc w:val="both"/>
        <w:rPr>
          <w:rFonts w:ascii="Arial" w:hAnsi="Arial" w:cs="Arial"/>
          <w:color w:val="000000" w:themeColor="text1"/>
          <w:lang w:val="pt-BR"/>
        </w:rPr>
      </w:pPr>
      <w:r>
        <w:rPr>
          <w:rFonts w:cs="Arial" w:ascii="Arial" w:hAnsi="Arial"/>
          <w:color w:val="000000" w:themeColor="text1"/>
          <w:lang w:val="pt-BR"/>
        </w:rPr>
      </w:r>
    </w:p>
    <w:p>
      <w:pPr>
        <w:pStyle w:val="Normal"/>
        <w:spacing w:lineRule="auto" w:line="240" w:beforeAutospacing="1" w:afterAutospacing="1"/>
        <w:jc w:val="both"/>
        <w:rPr>
          <w:rFonts w:ascii="Arial" w:hAnsi="Arial" w:eastAsia="Times New Roman" w:cs="Arial"/>
          <w:color w:val="000000" w:themeColor="text1"/>
          <w:sz w:val="24"/>
          <w:szCs w:val="24"/>
          <w:lang w:val="pt-BR"/>
        </w:rPr>
      </w:pPr>
      <w:r>
        <w:rPr>
          <w:rFonts w:eastAsia="Times New Roman" w:cs="Arial" w:ascii="Arial" w:hAnsi="Arial"/>
          <w:color w:val="000000" w:themeColor="text1"/>
          <w:sz w:val="24"/>
          <w:szCs w:val="24"/>
          <w:lang w:val="pt-BR"/>
        </w:rPr>
      </w:r>
    </w:p>
    <w:p>
      <w:pPr>
        <w:pStyle w:val="Normal"/>
        <w:spacing w:before="0" w:after="200"/>
        <w:rPr/>
      </w:pPr>
      <w:r>
        <w:rPr/>
      </w:r>
    </w:p>
    <w:sectPr>
      <w:type w:val="nextPage"/>
      <w:pgSz w:w="11906" w:h="16838"/>
      <w:pgMar w:left="1701" w:right="1701"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w:charset w:val="00"/>
    <w:family w:val="roman"/>
    <w:pitch w:val="variable"/>
  </w:font>
  <w:font w:name="Trebuchet MS">
    <w:charset w:val="00"/>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t-BR" w:eastAsia="en-US" w:bidi="ar-SA"/>
      </w:rPr>
    </w:rPrDefault>
    <w:pPrDefault>
      <w:pPr>
        <w:spacing w:lineRule="auto" w:line="259"/>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a7879"/>
    <w:pPr>
      <w:widowControl/>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en-US" w:eastAsia="en-US" w:bidi="ar-SA"/>
    </w:rPr>
  </w:style>
  <w:style w:type="paragraph" w:styleId="Ttulo3">
    <w:name w:val="Título 3"/>
    <w:basedOn w:val="Normal"/>
    <w:link w:val="Ttulo3Char"/>
    <w:uiPriority w:val="9"/>
    <w:qFormat/>
    <w:rsid w:val="008a7879"/>
    <w:pPr>
      <w:spacing w:lineRule="auto" w:line="240" w:beforeAutospacing="1" w:afterAutospacing="1"/>
      <w:outlineLvl w:val="2"/>
    </w:pPr>
    <w:rPr>
      <w:rFonts w:ascii="Times New Roman" w:hAnsi="Times New Roman" w:eastAsia="Times New Roman" w:cs="Times New Roman"/>
      <w:b/>
      <w:bCs/>
      <w:sz w:val="27"/>
      <w:szCs w:val="27"/>
    </w:rPr>
  </w:style>
  <w:style w:type="character" w:styleId="DefaultParagraphFont" w:default="1">
    <w:name w:val="Default Paragraph Font"/>
    <w:uiPriority w:val="1"/>
    <w:semiHidden/>
    <w:unhideWhenUsed/>
    <w:qFormat/>
    <w:rPr/>
  </w:style>
  <w:style w:type="character" w:styleId="Ttulo3Char" w:customStyle="1">
    <w:name w:val="Título 3 Char"/>
    <w:basedOn w:val="DefaultParagraphFont"/>
    <w:link w:val="Ttulo3"/>
    <w:uiPriority w:val="9"/>
    <w:qFormat/>
    <w:rsid w:val="008a7879"/>
    <w:rPr>
      <w:rFonts w:ascii="Times New Roman" w:hAnsi="Times New Roman" w:eastAsia="Times New Roman" w:cs="Times New Roman"/>
      <w:b/>
      <w:bCs/>
      <w:sz w:val="27"/>
      <w:szCs w:val="27"/>
      <w:lang w:val="en-US"/>
    </w:rPr>
  </w:style>
  <w:style w:type="character" w:styleId="LinkdaInternet">
    <w:name w:val="Link da Internet"/>
    <w:basedOn w:val="DefaultParagraphFont"/>
    <w:uiPriority w:val="99"/>
    <w:unhideWhenUsed/>
    <w:rsid w:val="008a7879"/>
    <w:rPr>
      <w:color w:val="0000FF"/>
      <w:u w:val="single"/>
    </w:rPr>
  </w:style>
  <w:style w:type="character" w:styleId="Hps" w:customStyle="1">
    <w:name w:val="hps"/>
    <w:basedOn w:val="DefaultParagraphFont"/>
    <w:qFormat/>
    <w:rsid w:val="008a7879"/>
    <w:rPr/>
  </w:style>
  <w:style w:type="character" w:styleId="Atn" w:customStyle="1">
    <w:name w:val="atn"/>
    <w:basedOn w:val="DefaultParagraphFont"/>
    <w:qFormat/>
    <w:rsid w:val="008a7879"/>
    <w:rPr/>
  </w:style>
  <w:style w:type="paragraph" w:styleId="Ttulo">
    <w:name w:val="Título"/>
    <w:basedOn w:val="Normal"/>
    <w:next w:val="Corpodetexto"/>
    <w:qFormat/>
    <w:pPr>
      <w:keepNext/>
      <w:spacing w:before="240" w:after="120"/>
    </w:pPr>
    <w:rPr>
      <w:rFonts w:ascii="Liberation Sans" w:hAnsi="Liberation Sans" w:eastAsia="Microsoft YaHei" w:cs="Arial Unicode MS"/>
      <w:sz w:val="28"/>
      <w:szCs w:val="28"/>
    </w:rPr>
  </w:style>
  <w:style w:type="paragraph" w:styleId="Corpodetexto">
    <w:name w:val="Corpo de texto"/>
    <w:basedOn w:val="Normal"/>
    <w:pPr>
      <w:spacing w:lineRule="auto" w:line="288" w:before="0" w:after="140"/>
    </w:pPr>
    <w:rPr/>
  </w:style>
  <w:style w:type="paragraph" w:styleId="Lista">
    <w:name w:val="Lista"/>
    <w:basedOn w:val="Corpodetexto"/>
    <w:pPr/>
    <w:rPr>
      <w:rFonts w:cs="Arial Unicode MS"/>
    </w:rPr>
  </w:style>
  <w:style w:type="paragraph" w:styleId="Legenda">
    <w:name w:val="Legenda"/>
    <w:basedOn w:val="Normal"/>
    <w:pPr>
      <w:suppressLineNumbers/>
      <w:spacing w:before="120" w:after="120"/>
    </w:pPr>
    <w:rPr>
      <w:rFonts w:cs="Arial Unicode MS"/>
      <w:i/>
      <w:iCs/>
      <w:sz w:val="24"/>
      <w:szCs w:val="24"/>
    </w:rPr>
  </w:style>
  <w:style w:type="paragraph" w:styleId="Ndice">
    <w:name w:val="Índice"/>
    <w:basedOn w:val="Normal"/>
    <w:qFormat/>
    <w:pPr>
      <w:suppressLineNumbers/>
    </w:pPr>
    <w:rPr>
      <w:rFonts w:cs="Arial Unicode MS"/>
    </w:rPr>
  </w:style>
  <w:style w:type="paragraph" w:styleId="NormalWeb">
    <w:name w:val="Normal (Web)"/>
    <w:basedOn w:val="Normal"/>
    <w:uiPriority w:val="99"/>
    <w:unhideWhenUsed/>
    <w:qFormat/>
    <w:rsid w:val="008a7879"/>
    <w:pPr>
      <w:spacing w:lineRule="auto" w:line="240" w:beforeAutospacing="1" w:afterAutospacing="1"/>
    </w:pPr>
    <w:rPr>
      <w:rFonts w:ascii="Times New Roman" w:hAnsi="Times New Roman" w:eastAsia="Times New Roman" w:cs="Times New Roman"/>
      <w:sz w:val="24"/>
      <w:szCs w:val="24"/>
    </w:rPr>
  </w:style>
  <w:style w:type="numbering" w:styleId="NoList" w:default="1">
    <w:name w:val="No List"/>
    <w:uiPriority w:val="99"/>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seudepigrapha.com/" TargetMode="External"/><Relationship Id="rId3" Type="http://schemas.openxmlformats.org/officeDocument/2006/relationships/hyperlink" Target="http://www.earlychristianwritings.com/apocrypha.html" TargetMode="External"/><Relationship Id="rId4" Type="http://schemas.openxmlformats.org/officeDocument/2006/relationships/hyperlink" Target="http://pt.wikipedia.org/wiki/B&#237;blia_hebraica" TargetMode="External"/><Relationship Id="rId5" Type="http://schemas.openxmlformats.org/officeDocument/2006/relationships/hyperlink" Target="http://pt.wikipedia.org/wiki/Koin&#233;" TargetMode="External"/><Relationship Id="rId6" Type="http://schemas.openxmlformats.org/officeDocument/2006/relationships/hyperlink" Target="http://pt.wikipedia.org/wiki/A.C." TargetMode="External"/><Relationship Id="rId7" Type="http://schemas.openxmlformats.org/officeDocument/2006/relationships/hyperlink" Target="http://pt.wikipedia.org/wiki/Alexandria" TargetMode="External"/><Relationship Id="rId8" Type="http://schemas.openxmlformats.org/officeDocument/2006/relationships/hyperlink" Target="http://pt.wikipedia.org/wiki/L&#237;ngua_franca" TargetMode="External"/><Relationship Id="rId9" Type="http://schemas.openxmlformats.org/officeDocument/2006/relationships/hyperlink" Target="http://pt.wikipedia.org/wiki/Alexandre,_o_Grande" TargetMode="External"/><Relationship Id="rId10" Type="http://schemas.openxmlformats.org/officeDocument/2006/relationships/hyperlink" Target="http://pt.wikipedia.org/wiki/B&#237;blia" TargetMode="External"/><Relationship Id="rId11" Type="http://schemas.openxmlformats.org/officeDocument/2006/relationships/hyperlink" Target="http://pt.wikipedia.org/wiki/Reforma_Protestante" TargetMode="External"/><Relationship Id="rId12" Type="http://schemas.openxmlformats.org/officeDocument/2006/relationships/hyperlink" Target="http://pt.wikipedia.org/wiki/C&#226;none_(desambigua&#231;&#227;o)" TargetMode="External"/><Relationship Id="rId13" Type="http://schemas.openxmlformats.org/officeDocument/2006/relationships/hyperlink" Target="http://pt.wikipedia.org/wiki/Igreja_Cat&#243;lica" TargetMode="External"/><Relationship Id="rId14" Type="http://schemas.openxmlformats.org/officeDocument/2006/relationships/hyperlink" Target="http://pt.wikipedia.org/wiki/Igrejas_orientais" TargetMode="External"/><Relationship Id="rId15" Type="http://schemas.openxmlformats.org/officeDocument/2006/relationships/hyperlink" Target="http://pt.wikipedia.org/wiki/Igreja_Anglicana" TargetMode="External"/><Relationship Id="rId16" Type="http://schemas.openxmlformats.org/officeDocument/2006/relationships/hyperlink" Target="http://pt.wikipedia.org/wiki/Salmo_151" TargetMode="External"/><Relationship Id="rId17" Type="http://schemas.openxmlformats.org/officeDocument/2006/relationships/hyperlink" Target="http://pt.wikipedia.org/wiki/King_James_Version" TargetMode="External"/><Relationship Id="rId18" Type="http://schemas.openxmlformats.org/officeDocument/2006/relationships/hyperlink" Target="http://pt.wikipedia.org/wiki/Livros_ap&#243;crifos" TargetMode="External"/><Relationship Id="rId19" Type="http://schemas.openxmlformats.org/officeDocument/2006/relationships/hyperlink" Target="http://pt.wikipedia.org/wiki/F&#237;lon_de_Alexandria" TargetMode="External"/><Relationship Id="rId20" Type="http://schemas.openxmlformats.org/officeDocument/2006/relationships/hyperlink" Target="http://pt.wikipedia.org/wiki/Fl&#225;vio_Josefo" TargetMode="External"/><Relationship Id="rId21" Type="http://schemas.openxmlformats.org/officeDocument/2006/relationships/hyperlink" Target="http://pt.wikipedia.org/wiki/Eslavo_eclesi&#225;stico" TargetMode="External"/><Relationship Id="rId22" Type="http://schemas.openxmlformats.org/officeDocument/2006/relationships/hyperlink" Target="http://pt.wikipedia.org/wiki/H&#233;xapla" TargetMode="External"/><Relationship Id="rId23" Type="http://schemas.openxmlformats.org/officeDocument/2006/relationships/hyperlink" Target="http://pt.wikipedia.org/wiki/Or&#237;genes" TargetMode="External"/><Relationship Id="rId24" Type="http://schemas.openxmlformats.org/officeDocument/2006/relationships/hyperlink" Target="http://pt.wikipedia.org/wiki/L&#237;ngua_arm&#233;nia" TargetMode="External"/><Relationship Id="rId25" Type="http://schemas.openxmlformats.org/officeDocument/2006/relationships/hyperlink" Target="http://pt.wikipedia.org/wiki/L&#237;ngua_georgiana" TargetMode="External"/><Relationship Id="rId26" Type="http://schemas.openxmlformats.org/officeDocument/2006/relationships/hyperlink" Target="http://pt.wikipedia.org/wiki/Copta" TargetMode="External"/><Relationship Id="rId27" Type="http://schemas.openxmlformats.org/officeDocument/2006/relationships/hyperlink" Target="http://pt.wikipedia.org/wiki/Novo_Testamento" TargetMode="External"/><Relationship Id="rId28" Type="http://schemas.openxmlformats.org/officeDocument/2006/relationships/hyperlink" Target="http://pt.wikipedia.org/wiki/Padres_da_Igreja" TargetMode="External"/><Relationship Id="rId29" Type="http://schemas.openxmlformats.org/officeDocument/2006/relationships/hyperlink" Target="http://pt.wikipedia.org/wiki/S&#233;culo_II" TargetMode="External"/><Relationship Id="rId30" Type="http://schemas.openxmlformats.org/officeDocument/2006/relationships/hyperlink" Target="http://pt.wikipedia.org/wiki/AD" TargetMode="External"/><Relationship Id="rId31" Type="http://schemas.openxmlformats.org/officeDocument/2006/relationships/hyperlink" Target="http://pt.wikipedia.org/wiki/Pergaminhos_do_Mar_Morto" TargetMode="External"/><Relationship Id="rId32" Type="http://schemas.openxmlformats.org/officeDocument/2006/relationships/hyperlink" Target="http://pt.wikipedia.org/wiki/Texto_massor&#233;tico" TargetMode="External"/><Relationship Id="rId33" Type="http://schemas.openxmlformats.org/officeDocument/2006/relationships/hyperlink" Target="http://pt.wikipedia.org/wiki/Codex_Vaticanus" TargetMode="External"/><Relationship Id="rId34" Type="http://schemas.openxmlformats.org/officeDocument/2006/relationships/hyperlink" Target="http://pt.wikipedia.org/wiki/Codex_Sinaiticus" TargetMode="External"/><Relationship Id="rId35" Type="http://schemas.openxmlformats.org/officeDocument/2006/relationships/hyperlink" Target="http://pt.wikipedia.org/wiki/S&#233;culo_IV" TargetMode="External"/><Relationship Id="rId36" Type="http://schemas.openxmlformats.org/officeDocument/2006/relationships/hyperlink" Target="http://pt.wikipedia.org/wiki/AD" TargetMode="External"/><Relationship Id="rId37" Type="http://schemas.openxmlformats.org/officeDocument/2006/relationships/fontTable" Target="fontTable.xml"/><Relationship Id="rId38" Type="http://schemas.openxmlformats.org/officeDocument/2006/relationships/settings" Target="settings.xml"/><Relationship Id="rId39" Type="http://schemas.openxmlformats.org/officeDocument/2006/relationships/theme" Target="theme/theme1.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LibreOffice/5.1.0.3$Windows_X86_64 LibreOffice_project/5e3e00a007d9b3b6efb6797a8b8e57b51ab1f737</Application>
  <Pages>12</Pages>
  <Words>4168</Words>
  <Characters>21743</Characters>
  <CharactersWithSpaces>25938</CharactersWithSpaces>
  <Paragraphs>107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2013-03-21T01:46:00Z</dcterms:created>
  <dc:creator>jean luc fobe</dc:creator>
  <dc:description/>
  <dc:language>pt-BR</dc:language>
  <cp:lastModifiedBy/>
  <dcterms:modified xsi:type="dcterms:W3CDTF">2016-03-05T06:21:32Z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